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00001">
      <w:pPr>
        <w:pStyle w:val="2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75" w:lineRule="auto"/>
        <w:rPr>
          <w:rFonts w:hint="eastAsia" w:ascii="Times New Roman" w:hAnsi="Times New Roman" w:eastAsia="微软雅黑" w:cs="微软雅黑"/>
          <w:color w:val="1F1F1F"/>
        </w:rPr>
      </w:pPr>
      <w:bookmarkStart w:id="0" w:name="_GoBack"/>
      <w:bookmarkEnd w:id="0"/>
      <w:r>
        <w:rPr>
          <w:rFonts w:hint="eastAsia" w:ascii="Times New Roman" w:hAnsi="Times New Roman" w:eastAsia="微软雅黑" w:cs="微软雅黑"/>
          <w:color w:val="1F1F1F"/>
          <w:rtl w:val="0"/>
        </w:rPr>
        <w:t>前端感知设备软件接口控制文件</w:t>
      </w:r>
      <w:r>
        <w:rPr>
          <w:rFonts w:hint="eastAsia" w:ascii="Times New Roman" w:hAnsi="Times New Roman" w:eastAsia="微软雅黑" w:cs="微软雅黑"/>
          <w:color w:val="1F1F1F"/>
          <w:rtl w:val="0"/>
          <w:lang w:val="en-US" w:eastAsia="zh-CN"/>
        </w:rPr>
        <w:t>v1.0</w:t>
      </w:r>
      <w:r>
        <w:rPr>
          <w:rFonts w:hint="eastAsia" w:ascii="Times New Roman" w:hAnsi="Times New Roman" w:eastAsia="微软雅黑" w:cs="微软雅黑"/>
          <w:color w:val="1F1F1F"/>
          <w:rtl w:val="0"/>
        </w:rPr>
        <w:t xml:space="preserve"> (ICD)</w:t>
      </w:r>
    </w:p>
    <w:p w14:paraId="00000002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textAlignment w:val="auto"/>
        <w:rPr>
          <w:rFonts w:hint="eastAsia" w:ascii="Times New Roman" w:hAnsi="Times New Roman" w:eastAsia="微软雅黑" w:cs="微软雅黑"/>
          <w:color w:val="1F1F1F"/>
        </w:rPr>
      </w:pPr>
      <w:r>
        <w:rPr>
          <w:rFonts w:hint="eastAsia" w:ascii="Times New Roman" w:hAnsi="Times New Roman" w:eastAsia="微软雅黑" w:cs="微软雅黑"/>
          <w:b/>
          <w:bCs/>
          <w:color w:val="1F1F1F"/>
          <w:rtl w:val="0"/>
        </w:rPr>
        <w:t>文档编号</w:t>
      </w:r>
      <w:r>
        <w:rPr>
          <w:rFonts w:hint="eastAsia" w:ascii="Times New Roman" w:hAnsi="Times New Roman" w:eastAsia="微软雅黑" w:cs="微软雅黑"/>
          <w:color w:val="1F1F1F"/>
          <w:rtl w:val="0"/>
        </w:rPr>
        <w:t>: FES-SW-ICD-001</w:t>
      </w:r>
    </w:p>
    <w:p w14:paraId="00000003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textAlignment w:val="auto"/>
        <w:rPr>
          <w:rFonts w:hint="eastAsia" w:ascii="Times New Roman" w:hAnsi="Times New Roman" w:eastAsia="微软雅黑" w:cs="微软雅黑"/>
          <w:color w:val="1F1F1F"/>
        </w:rPr>
      </w:pPr>
      <w:r>
        <w:rPr>
          <w:rFonts w:hint="eastAsia" w:ascii="Times New Roman" w:hAnsi="Times New Roman" w:eastAsia="微软雅黑" w:cs="微软雅黑"/>
          <w:b/>
          <w:bCs/>
          <w:color w:val="1F1F1F"/>
          <w:rtl w:val="0"/>
        </w:rPr>
        <w:t>版本</w:t>
      </w:r>
      <w:r>
        <w:rPr>
          <w:rFonts w:hint="eastAsia" w:ascii="Times New Roman" w:hAnsi="Times New Roman" w:eastAsia="微软雅黑" w:cs="微软雅黑"/>
          <w:color w:val="1F1F1F"/>
          <w:rtl w:val="0"/>
        </w:rPr>
        <w:t>: V1.0</w:t>
      </w:r>
    </w:p>
    <w:p w14:paraId="00000004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textAlignment w:val="auto"/>
        <w:rPr>
          <w:rFonts w:hint="eastAsia" w:ascii="Times New Roman" w:hAnsi="Times New Roman" w:eastAsia="微软雅黑" w:cs="微软雅黑"/>
          <w:color w:val="1F1F1F"/>
          <w:lang w:val="en-US" w:eastAsia="zh-CN"/>
        </w:rPr>
      </w:pPr>
      <w:r>
        <w:rPr>
          <w:rFonts w:hint="eastAsia" w:ascii="Times New Roman" w:hAnsi="Times New Roman" w:eastAsia="微软雅黑" w:cs="微软雅黑"/>
          <w:b/>
          <w:bCs/>
          <w:color w:val="1F1F1F"/>
          <w:rtl w:val="0"/>
        </w:rPr>
        <w:t>日期</w:t>
      </w:r>
      <w:r>
        <w:rPr>
          <w:rFonts w:hint="eastAsia" w:ascii="Times New Roman" w:hAnsi="Times New Roman" w:eastAsia="微软雅黑" w:cs="微软雅黑"/>
          <w:color w:val="1F1F1F"/>
          <w:rtl w:val="0"/>
        </w:rPr>
        <w:t>: 2025-</w:t>
      </w:r>
      <w:r>
        <w:rPr>
          <w:rFonts w:hint="eastAsia" w:ascii="Times New Roman" w:hAnsi="Times New Roman" w:eastAsia="微软雅黑" w:cs="微软雅黑"/>
          <w:color w:val="1F1F1F"/>
          <w:rtl w:val="0"/>
          <w:lang w:val="en-US" w:eastAsia="zh-CN"/>
        </w:rPr>
        <w:t>12</w:t>
      </w:r>
      <w:r>
        <w:rPr>
          <w:rFonts w:hint="eastAsia" w:ascii="Times New Roman" w:hAnsi="Times New Roman" w:eastAsia="微软雅黑" w:cs="微软雅黑"/>
          <w:color w:val="1F1F1F"/>
          <w:rtl w:val="0"/>
        </w:rPr>
        <w:t>-</w:t>
      </w:r>
      <w:r>
        <w:rPr>
          <w:rFonts w:hint="eastAsia" w:ascii="Times New Roman" w:hAnsi="Times New Roman" w:eastAsia="微软雅黑" w:cs="微软雅黑"/>
          <w:color w:val="1F1F1F"/>
          <w:rtl w:val="0"/>
          <w:lang w:val="en-US" w:eastAsia="zh-CN"/>
        </w:rPr>
        <w:t>04</w:t>
      </w:r>
    </w:p>
    <w:p w14:paraId="00000005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276" w:lineRule="auto"/>
        <w:textAlignment w:val="auto"/>
        <w:rPr>
          <w:rFonts w:hint="eastAsia" w:ascii="Times New Roman" w:hAnsi="Times New Roman" w:eastAsia="微软雅黑" w:cs="微软雅黑"/>
          <w:color w:val="1F1F1F"/>
        </w:rPr>
      </w:pPr>
      <w:r>
        <w:rPr>
          <w:rFonts w:hint="eastAsia" w:ascii="Times New Roman" w:hAnsi="Times New Roman" w:eastAsia="微软雅黑" w:cs="微软雅黑"/>
          <w:b/>
          <w:bCs/>
          <w:color w:val="1F1F1F"/>
          <w:rtl w:val="0"/>
        </w:rPr>
        <w:t>密级</w:t>
      </w:r>
      <w:r>
        <w:rPr>
          <w:rFonts w:hint="eastAsia" w:ascii="Times New Roman" w:hAnsi="Times New Roman" w:eastAsia="微软雅黑" w:cs="微软雅黑"/>
          <w:color w:val="1F1F1F"/>
          <w:rtl w:val="0"/>
        </w:rPr>
        <w:t>: 内部公开</w:t>
      </w:r>
    </w:p>
    <w:p w14:paraId="00000006">
      <w:pPr>
        <w:pStyle w:val="3"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75" w:lineRule="auto"/>
        <w:rPr>
          <w:rFonts w:hint="eastAsia" w:ascii="Times New Roman" w:hAnsi="Times New Roman" w:eastAsia="微软雅黑" w:cs="微软雅黑"/>
          <w:color w:val="1F1F1F"/>
        </w:rPr>
      </w:pPr>
      <w:r>
        <w:rPr>
          <w:rFonts w:hint="eastAsia" w:ascii="Times New Roman" w:hAnsi="Times New Roman" w:eastAsia="微软雅黑" w:cs="微软雅黑"/>
          <w:color w:val="1F1F1F"/>
          <w:rtl w:val="0"/>
        </w:rPr>
        <w:t>范围</w:t>
      </w:r>
    </w:p>
    <w:p w14:paraId="000000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="Times New Roman" w:hAnsi="Times New Roman"/>
        </w:rPr>
      </w:pPr>
      <w:r>
        <w:rPr>
          <w:rFonts w:hint="eastAsia" w:ascii="Times New Roman" w:hAnsi="Times New Roman"/>
          <w:rtl w:val="0"/>
        </w:rPr>
        <w:t>本接口控制文件（ICD）规定了前端感知系统中，信号处理系统（SPS）、数据采集控制系统（DACS）、天馈射频系统及相关外设之间的通信协议、数据格式及时序要求。</w:t>
      </w:r>
    </w:p>
    <w:p w14:paraId="000000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="Times New Roman" w:hAnsi="Times New Roman"/>
        </w:rPr>
      </w:pPr>
      <w:r>
        <w:rPr>
          <w:rFonts w:hint="eastAsia" w:ascii="Times New Roman" w:hAnsi="Times New Roman"/>
          <w:rtl w:val="0"/>
        </w:rPr>
        <w:t>本文件适用于前端感知系统的软件开发、系统集成及联调测试。</w:t>
      </w:r>
    </w:p>
    <w:p w14:paraId="00000009">
      <w:pPr>
        <w:pStyle w:val="3"/>
        <w:numPr>
          <w:ilvl w:val="0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75" w:lineRule="auto"/>
        <w:outlineLvl w:val="1"/>
        <w:rPr>
          <w:rFonts w:hint="eastAsia" w:ascii="Times New Roman" w:hAnsi="Times New Roman" w:eastAsia="微软雅黑" w:cs="微软雅黑"/>
          <w:color w:val="1F1F1F"/>
          <w:rtl w:val="0"/>
        </w:rPr>
      </w:pPr>
      <w:r>
        <w:rPr>
          <w:rFonts w:hint="eastAsia" w:ascii="Times New Roman" w:hAnsi="Times New Roman" w:eastAsia="微软雅黑" w:cs="微软雅黑"/>
          <w:color w:val="1F1F1F"/>
          <w:rtl w:val="0"/>
        </w:rPr>
        <w:t>系统概述与接口关系</w:t>
      </w:r>
    </w:p>
    <w:p w14:paraId="39ADCAF3">
      <w:pPr>
        <w:pStyle w:val="4"/>
        <w:numPr>
          <w:ilvl w:val="1"/>
          <w:numId w:val="3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75" w:lineRule="auto"/>
        <w:rPr>
          <w:rFonts w:hint="eastAsia" w:ascii="Times New Roman" w:hAnsi="Times New Roman" w:eastAsia="微软雅黑" w:cs="微软雅黑"/>
          <w:color w:val="1F1F1F"/>
          <w:rtl w:val="0"/>
        </w:rPr>
      </w:pPr>
      <w:r>
        <w:rPr>
          <w:rFonts w:hint="eastAsia" w:ascii="Times New Roman" w:hAnsi="Times New Roman" w:eastAsia="微软雅黑" w:cs="微软雅黑"/>
          <w:color w:val="1F1F1F"/>
          <w:rtl w:val="0"/>
        </w:rPr>
        <w:t>节点定义</w:t>
      </w:r>
    </w:p>
    <w:p w14:paraId="17172B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="Times New Roman" w:hAnsi="Times New Roman"/>
          <w:rtl w:val="0"/>
        </w:rPr>
      </w:pPr>
      <w:r>
        <w:rPr>
          <w:rFonts w:hint="eastAsia" w:ascii="Times New Roman" w:hAnsi="Times New Roman" w:eastAsia="Arial" w:cs="Arial"/>
          <w:rtl w:val="0"/>
        </w:rPr>
        <w:t>前端</w:t>
      </w:r>
      <w:r>
        <w:rPr>
          <w:rFonts w:hint="eastAsia" w:ascii="Times New Roman" w:hAnsi="Times New Roman"/>
          <w:rtl w:val="0"/>
        </w:rPr>
        <w:t>感知系统采用星型分布式架构，由1个信号处理系统作为主控节点，控制3个分布式数据采集控制系统。</w:t>
      </w:r>
    </w:p>
    <w:tbl>
      <w:tblPr>
        <w:tblStyle w:val="13"/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100" w:type="dxa"/>
          <w:left w:w="100" w:type="dxa"/>
          <w:bottom w:w="100" w:type="dxa"/>
          <w:right w:w="100" w:type="dxa"/>
        </w:tblCellMar>
      </w:tblPr>
      <w:tblGrid>
        <w:gridCol w:w="2583"/>
        <w:gridCol w:w="1573"/>
        <w:gridCol w:w="1400"/>
        <w:gridCol w:w="2035"/>
        <w:gridCol w:w="2125"/>
      </w:tblGrid>
      <w:tr w14:paraId="5748028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1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C6C558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</w:rPr>
            </w:pPr>
            <w:r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  <w:t>设备名称</w:t>
            </w: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938DDB0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  <w:t>缩写</w:t>
            </w: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4C042E9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  <w:t>逻辑编号</w:t>
            </w:r>
          </w:p>
        </w:tc>
        <w:tc>
          <w:tcPr>
            <w:tcW w:w="10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F6DC50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  <w:t>IP地址</w:t>
            </w: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F65A5C9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  <w:t>备注</w:t>
            </w:r>
          </w:p>
        </w:tc>
      </w:tr>
      <w:tr w14:paraId="530373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1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D4E1B2F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信号处理系统</w:t>
            </w: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ECD3135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SPS</w:t>
            </w: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BBE6B6B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0x01</w:t>
            </w:r>
          </w:p>
        </w:tc>
        <w:tc>
          <w:tcPr>
            <w:tcW w:w="10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49BFB8F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192.168.0.100</w:t>
            </w: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ADDFC7A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主控节点</w:t>
            </w:r>
          </w:p>
        </w:tc>
      </w:tr>
      <w:tr w14:paraId="70FE69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1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E272188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数据采集控制系统1</w:t>
            </w: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B53F68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DACS-1</w:t>
            </w: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036BAA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0x02</w:t>
            </w:r>
          </w:p>
        </w:tc>
        <w:tc>
          <w:tcPr>
            <w:tcW w:w="10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F1A33A9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192.168.0.200</w:t>
            </w: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48715DA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子阵1控制</w:t>
            </w:r>
          </w:p>
        </w:tc>
      </w:tr>
      <w:tr w14:paraId="5B7A63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1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25179E1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数据采集控制系统2</w:t>
            </w: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7CDE47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DACS-2</w:t>
            </w: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35542F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0x03</w:t>
            </w:r>
          </w:p>
        </w:tc>
        <w:tc>
          <w:tcPr>
            <w:tcW w:w="10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663C331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192.168.0.201</w:t>
            </w: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DE417FA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子阵2控制</w:t>
            </w:r>
          </w:p>
        </w:tc>
      </w:tr>
      <w:tr w14:paraId="662DBB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1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77F23D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数据采集控制系统3</w:t>
            </w: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0DA55F7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DACS-3</w:t>
            </w: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639514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0x04</w:t>
            </w:r>
          </w:p>
        </w:tc>
        <w:tc>
          <w:tcPr>
            <w:tcW w:w="10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80BFFCE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192.168.0.202</w:t>
            </w: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4987C0C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子阵3控制</w:t>
            </w:r>
          </w:p>
        </w:tc>
      </w:tr>
      <w:tr w14:paraId="1C2466C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1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BE7C279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天馈射频系统</w:t>
            </w: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FCC7C08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ANT</w:t>
            </w: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EB727C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0x05</w:t>
            </w:r>
          </w:p>
        </w:tc>
        <w:tc>
          <w:tcPr>
            <w:tcW w:w="10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28E99F3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N/A</w:t>
            </w: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F6677EC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LVDS/串行连接</w:t>
            </w:r>
          </w:p>
        </w:tc>
      </w:tr>
      <w:tr w14:paraId="44D302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1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AAC34F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时统供电系统</w:t>
            </w: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167C8C3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PSU/Time</w:t>
            </w: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25B983C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0x06</w:t>
            </w:r>
          </w:p>
        </w:tc>
        <w:tc>
          <w:tcPr>
            <w:tcW w:w="10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C2A4A59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N/A</w:t>
            </w:r>
          </w:p>
        </w:tc>
        <w:tc>
          <w:tcPr>
            <w:tcW w:w="10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672E4B8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RS485连接</w:t>
            </w:r>
          </w:p>
        </w:tc>
      </w:tr>
    </w:tbl>
    <w:p w14:paraId="0000002F">
      <w:pPr>
        <w:pStyle w:val="4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480" w:after="120" w:line="275" w:lineRule="auto"/>
        <w:rPr>
          <w:rFonts w:hint="eastAsia" w:ascii="Times New Roman" w:hAnsi="Times New Roman" w:eastAsia="微软雅黑" w:cs="微软雅黑"/>
          <w:color w:val="1F1F1F"/>
        </w:rPr>
      </w:pPr>
      <w:r>
        <w:rPr>
          <w:rFonts w:hint="eastAsia" w:ascii="Times New Roman" w:hAnsi="Times New Roman" w:eastAsia="微软雅黑" w:cs="微软雅黑"/>
          <w:color w:val="1F1F1F"/>
          <w:rtl w:val="0"/>
        </w:rPr>
        <w:t>2.2 通信链路规划</w:t>
      </w:r>
    </w:p>
    <w:tbl>
      <w:tblPr>
        <w:tblStyle w:val="14"/>
        <w:tblW w:w="5000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100" w:type="dxa"/>
          <w:left w:w="100" w:type="dxa"/>
          <w:bottom w:w="100" w:type="dxa"/>
          <w:right w:w="100" w:type="dxa"/>
        </w:tblCellMar>
      </w:tblPr>
      <w:tblGrid>
        <w:gridCol w:w="1553"/>
        <w:gridCol w:w="1685"/>
        <w:gridCol w:w="1609"/>
        <w:gridCol w:w="1175"/>
        <w:gridCol w:w="1140"/>
        <w:gridCol w:w="2558"/>
      </w:tblGrid>
      <w:tr w14:paraId="305727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jc w:val="center"/>
        </w:trPr>
        <w:tc>
          <w:tcPr>
            <w:tcW w:w="7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30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  <w:t>链路名称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31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  <w:t>连接对象</w:t>
            </w:r>
          </w:p>
        </w:tc>
        <w:tc>
          <w:tcPr>
            <w:tcW w:w="8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3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  <w:t>物理介质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33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  <w:t>传输协议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34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  <w:t>带宽要求</w:t>
            </w:r>
          </w:p>
        </w:tc>
        <w:tc>
          <w:tcPr>
            <w:tcW w:w="1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35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  <w:t>关键约束</w:t>
            </w:r>
          </w:p>
        </w:tc>
      </w:tr>
      <w:tr w14:paraId="365349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jc w:val="center"/>
        </w:trPr>
        <w:tc>
          <w:tcPr>
            <w:tcW w:w="7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3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控制/状态链路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37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SPS &lt;</w:t>
            </w: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  <w:lang w:eastAsia="zh-CN"/>
              </w:rPr>
              <w:t>—&gt;</w:t>
            </w: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 xml:space="preserve"> DACS</w:t>
            </w:r>
          </w:p>
        </w:tc>
        <w:tc>
          <w:tcPr>
            <w:tcW w:w="8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38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Ethernet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39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UDP/IP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3A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10 Gbps</w:t>
            </w:r>
          </w:p>
        </w:tc>
        <w:tc>
          <w:tcPr>
            <w:tcW w:w="1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3B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低延迟优先</w:t>
            </w:r>
          </w:p>
        </w:tc>
      </w:tr>
      <w:tr w14:paraId="4872015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jc w:val="center"/>
        </w:trPr>
        <w:tc>
          <w:tcPr>
            <w:tcW w:w="7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3C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大数据回波链路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3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SPS &lt;</w:t>
            </w: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  <w:lang w:eastAsia="zh-CN"/>
              </w:rPr>
              <w:t>—&gt;</w:t>
            </w: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 xml:space="preserve"> DACS</w:t>
            </w:r>
          </w:p>
        </w:tc>
        <w:tc>
          <w:tcPr>
            <w:tcW w:w="8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3E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Ethernet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3F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UDP/IP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40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10 Gbps</w:t>
            </w:r>
          </w:p>
        </w:tc>
        <w:tc>
          <w:tcPr>
            <w:tcW w:w="1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41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  <w:t>MTU 9000 (Jumbo Frame)</w:t>
            </w:r>
          </w:p>
        </w:tc>
      </w:tr>
      <w:tr w14:paraId="61EFBF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jc w:val="center"/>
        </w:trPr>
        <w:tc>
          <w:tcPr>
            <w:tcW w:w="7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4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前端控制链路</w:t>
            </w:r>
          </w:p>
        </w:tc>
        <w:tc>
          <w:tcPr>
            <w:tcW w:w="8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43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DACS &lt;</w:t>
            </w: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  <w:lang w:eastAsia="zh-CN"/>
              </w:rPr>
              <w:t>—&gt;</w:t>
            </w: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 xml:space="preserve"> ANT</w:t>
            </w:r>
          </w:p>
        </w:tc>
        <w:tc>
          <w:tcPr>
            <w:tcW w:w="8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44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LVDS/RS422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45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私有串行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4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5 Mbps</w:t>
            </w:r>
          </w:p>
        </w:tc>
        <w:tc>
          <w:tcPr>
            <w:tcW w:w="13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47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  <w:t>CRC-16 校验</w:t>
            </w:r>
          </w:p>
        </w:tc>
      </w:tr>
    </w:tbl>
    <w:p w14:paraId="00000048">
      <w:pPr>
        <w:pStyle w:val="3"/>
        <w:numPr>
          <w:ilvl w:val="0"/>
          <w:numId w:val="3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480" w:after="120" w:line="275" w:lineRule="auto"/>
        <w:ind w:left="0" w:leftChars="0" w:firstLine="0" w:firstLineChars="0"/>
        <w:rPr>
          <w:rFonts w:hint="eastAsia" w:ascii="Times New Roman" w:hAnsi="Times New Roman" w:eastAsia="微软雅黑" w:cs="微软雅黑"/>
          <w:color w:val="1F1F1F"/>
        </w:rPr>
      </w:pPr>
      <w:r>
        <w:rPr>
          <w:rFonts w:hint="eastAsia" w:ascii="Times New Roman" w:hAnsi="Times New Roman" w:eastAsia="微软雅黑" w:cs="微软雅黑"/>
          <w:color w:val="1F1F1F"/>
          <w:rtl w:val="0"/>
        </w:rPr>
        <w:t>通用协议规范</w:t>
      </w:r>
    </w:p>
    <w:p w14:paraId="00000049">
      <w:pPr>
        <w:pStyle w:val="4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75" w:lineRule="auto"/>
        <w:rPr>
          <w:rFonts w:hint="eastAsia" w:ascii="Times New Roman" w:hAnsi="Times New Roman" w:eastAsia="微软雅黑" w:cs="微软雅黑"/>
          <w:color w:val="1F1F1F"/>
        </w:rPr>
      </w:pPr>
      <w:r>
        <w:rPr>
          <w:rFonts w:hint="eastAsia" w:ascii="Times New Roman" w:hAnsi="Times New Roman" w:eastAsia="微软雅黑" w:cs="微软雅黑"/>
          <w:color w:val="1F1F1F"/>
          <w:rtl w:val="0"/>
        </w:rPr>
        <w:t>3.1 数据格式与字节序</w:t>
      </w:r>
    </w:p>
    <w:p w14:paraId="000000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="Times New Roman" w:hAnsi="Times New Roman" w:eastAsia="Arial" w:cs="Arial"/>
          <w:b/>
          <w:bCs/>
          <w:color w:val="auto"/>
          <w:highlight w:val="yellow"/>
          <w:rtl w:val="0"/>
        </w:rPr>
      </w:pPr>
      <w:r>
        <w:rPr>
          <w:rFonts w:hint="eastAsia" w:ascii="Times New Roman" w:hAnsi="Times New Roman" w:eastAsia="Arial" w:cs="Arial"/>
          <w:b/>
          <w:bCs/>
          <w:color w:val="auto"/>
          <w:highlight w:val="yellow"/>
          <w:rtl w:val="0"/>
        </w:rPr>
        <w:t>为保证基于 x86/ARM 架构的通用计算平台处理效率，系统内所有多字节字段（short, int, long, float 等）传输时均采用 小端模式 (Little-Endian)，即低字节在前，高字节在后。</w:t>
      </w:r>
    </w:p>
    <w:p w14:paraId="0000004B">
      <w:pPr>
        <w:pStyle w:val="4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75" w:lineRule="auto"/>
        <w:rPr>
          <w:rFonts w:hint="eastAsia" w:ascii="Times New Roman" w:hAnsi="Times New Roman" w:eastAsia="微软雅黑" w:cs="微软雅黑"/>
          <w:color w:val="1F1F1F"/>
        </w:rPr>
      </w:pPr>
      <w:r>
        <w:rPr>
          <w:rFonts w:hint="eastAsia" w:ascii="Times New Roman" w:hAnsi="Times New Roman" w:eastAsia="微软雅黑" w:cs="微软雅黑"/>
          <w:color w:val="1F1F1F"/>
          <w:rtl w:val="0"/>
        </w:rPr>
        <w:t>3.2 结构体对齐</w:t>
      </w:r>
    </w:p>
    <w:p w14:paraId="000000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="Times New Roman" w:hAnsi="Times New Roman" w:eastAsia="Arial" w:cs="Arial"/>
          <w:rtl w:val="0"/>
        </w:rPr>
      </w:pPr>
      <w:r>
        <w:rPr>
          <w:rFonts w:hint="eastAsia" w:ascii="Times New Roman" w:hAnsi="Times New Roman" w:eastAsia="Arial" w:cs="Arial"/>
          <w:rtl w:val="0"/>
        </w:rPr>
        <w:t>所有通信数据包结构体均采用 1字节对齐 (1-byte alignment/packed)，严禁编译器插入填充字节。</w:t>
      </w:r>
    </w:p>
    <w:p w14:paraId="0000004D">
      <w:pPr>
        <w:pStyle w:val="4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75" w:lineRule="auto"/>
        <w:rPr>
          <w:rFonts w:hint="eastAsia" w:ascii="Times New Roman" w:hAnsi="Times New Roman" w:eastAsia="微软雅黑" w:cs="微软雅黑"/>
          <w:color w:val="1F1F1F"/>
        </w:rPr>
      </w:pPr>
      <w:r>
        <w:rPr>
          <w:rFonts w:hint="eastAsia" w:ascii="Times New Roman" w:hAnsi="Times New Roman" w:eastAsia="微软雅黑" w:cs="微软雅黑"/>
          <w:color w:val="1F1F1F"/>
          <w:rtl w:val="0"/>
        </w:rPr>
        <w:t>3.3 校验算法</w:t>
      </w:r>
    </w:p>
    <w:p w14:paraId="000000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="Times New Roman" w:hAnsi="Times New Roman" w:eastAsia="微软雅黑" w:cs="微软雅黑"/>
          <w:color w:val="1F1F1F"/>
        </w:rPr>
      </w:pPr>
      <w:r>
        <w:rPr>
          <w:rFonts w:hint="eastAsia" w:ascii="Times New Roman" w:hAnsi="Times New Roman" w:eastAsia="Arial" w:cs="Arial"/>
          <w:rtl w:val="0"/>
        </w:rPr>
        <w:t>为确保复杂电磁环境下的数据完整性，所有串行通信链路均采用 CRC-16-CCITT 算法。</w:t>
      </w:r>
    </w:p>
    <w:p w14:paraId="0000004F">
      <w:pPr>
        <w:numPr>
          <w:ilvl w:val="0"/>
          <w:numId w:val="4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420"/>
          <w:tab w:val="clear" w:pos="840"/>
        </w:tabs>
        <w:spacing w:after="0" w:afterAutospacing="0" w:line="275" w:lineRule="auto"/>
        <w:ind w:left="885" w:leftChars="0" w:hanging="360"/>
        <w:rPr>
          <w:rFonts w:hint="eastAsia" w:ascii="Times New Roman" w:hAnsi="Times New Roman" w:eastAsia="宋体" w:cs="微软雅黑"/>
          <w:b/>
          <w:bCs/>
        </w:rPr>
      </w:pPr>
      <w:r>
        <w:rPr>
          <w:rFonts w:hint="eastAsia" w:ascii="Times New Roman" w:hAnsi="Times New Roman" w:eastAsia="宋体" w:cs="微软雅黑"/>
          <w:b/>
          <w:bCs/>
          <w:color w:val="1F1F1F"/>
          <w:rtl w:val="0"/>
        </w:rPr>
        <w:t>多项式</w:t>
      </w:r>
      <w:r>
        <w:rPr>
          <w:rFonts w:hint="eastAsia" w:ascii="Times New Roman" w:hAnsi="Times New Roman" w:eastAsia="宋体" w:cs="微软雅黑"/>
          <w:color w:val="1F1F1F"/>
          <w:rtl w:val="0"/>
        </w:rPr>
        <w:t xml:space="preserve">: </w:t>
      </w:r>
      <m:oMath>
        <m:r>
          <m:rPr/>
          <w:rPr>
            <w:rFonts w:hint="eastAsia" w:ascii="Cambria Math" w:hAnsi="Cambria Math" w:eastAsia="宋体" w:cs="微软雅黑"/>
            <w:color w:val="1F1F1F"/>
            <w:rtl w:val="0"/>
          </w:rPr>
          <m:t>0x1021</m:t>
        </m:r>
        <m:r>
          <m:rPr>
            <m:sty m:val="bi"/>
          </m:rPr>
          <w:rPr>
            <w:rFonts w:hint="default" w:ascii="Cambria Math" w:hAnsi="Cambria Math" w:eastAsia="宋体"/>
            <w:sz w:val="22"/>
          </w:rPr>
          <m:t>(</m:t>
        </m:r>
        <m:sSup>
          <m:sSupPr>
            <m:ctrlPr>
              <w:rPr>
                <w:rFonts w:hint="default" w:ascii="Cambria Math" w:hAnsi="Cambria Math" w:eastAsia="宋体"/>
                <w:b/>
                <w:bCs/>
                <w:sz w:val="22"/>
              </w:rPr>
            </m:ctrlPr>
          </m:sSupPr>
          <m:e>
            <m:r>
              <m:rPr>
                <m:sty m:val="bi"/>
              </m:rPr>
              <w:rPr>
                <w:rFonts w:hint="default" w:ascii="Cambria Math" w:hAnsi="Cambria Math" w:eastAsia="宋体"/>
                <w:sz w:val="22"/>
              </w:rPr>
              <m:t>x</m:t>
            </m:r>
            <m:ctrlPr>
              <w:rPr>
                <w:rFonts w:ascii="Cambria Math" w:hAnsi="Cambria Math" w:eastAsia="宋体"/>
                <w:b/>
                <w:bCs/>
                <w:sz w:val="22"/>
              </w:rPr>
            </m:ctrlPr>
          </m:e>
          <m:sup>
            <m:r>
              <m:rPr>
                <m:sty m:val="bi"/>
              </m:rPr>
              <w:rPr>
                <w:rFonts w:hint="default" w:ascii="Cambria Math" w:hAnsi="Cambria Math" w:eastAsia="宋体"/>
                <w:sz w:val="22"/>
              </w:rPr>
              <m:t>16</m:t>
            </m:r>
            <m:ctrlPr>
              <w:rPr>
                <w:rFonts w:ascii="Cambria Math" w:hAnsi="Cambria Math" w:eastAsia="宋体"/>
                <w:b/>
                <w:bCs/>
                <w:sz w:val="22"/>
              </w:rPr>
            </m:ctrlPr>
          </m:sup>
        </m:sSup>
        <m:r>
          <m:rPr>
            <m:sty m:val="bi"/>
          </m:rPr>
          <w:rPr>
            <w:rFonts w:hint="default" w:ascii="Cambria Math" w:hAnsi="Cambria Math" w:eastAsia="宋体"/>
            <w:sz w:val="22"/>
          </w:rPr>
          <m:t>+</m:t>
        </m:r>
        <m:sSup>
          <m:sSupPr>
            <m:ctrlPr>
              <w:rPr>
                <w:rFonts w:hint="default" w:ascii="Cambria Math" w:hAnsi="Cambria Math" w:eastAsia="宋体"/>
                <w:b/>
                <w:bCs/>
                <w:sz w:val="22"/>
              </w:rPr>
            </m:ctrlPr>
          </m:sSupPr>
          <m:e>
            <m:r>
              <m:rPr>
                <m:sty m:val="bi"/>
              </m:rPr>
              <w:rPr>
                <w:rFonts w:hint="default" w:ascii="Cambria Math" w:hAnsi="Cambria Math" w:eastAsia="宋体"/>
                <w:sz w:val="22"/>
              </w:rPr>
              <m:t>x</m:t>
            </m:r>
            <m:ctrlPr>
              <w:rPr>
                <w:rFonts w:ascii="Cambria Math" w:hAnsi="Cambria Math" w:eastAsia="宋体"/>
                <w:b/>
                <w:bCs/>
                <w:sz w:val="22"/>
              </w:rPr>
            </m:ctrlPr>
          </m:e>
          <m:sup>
            <m:r>
              <m:rPr>
                <m:sty m:val="bi"/>
              </m:rPr>
              <w:rPr>
                <w:rFonts w:hint="default" w:ascii="Cambria Math" w:hAnsi="Cambria Math" w:eastAsia="宋体"/>
                <w:sz w:val="22"/>
              </w:rPr>
              <m:t>12</m:t>
            </m:r>
            <m:ctrlPr>
              <w:rPr>
                <w:rFonts w:ascii="Cambria Math" w:hAnsi="Cambria Math" w:eastAsia="宋体"/>
                <w:b/>
                <w:bCs/>
                <w:sz w:val="22"/>
              </w:rPr>
            </m:ctrlPr>
          </m:sup>
        </m:sSup>
        <m:r>
          <m:rPr>
            <m:sty m:val="bi"/>
          </m:rPr>
          <w:rPr>
            <w:rFonts w:hint="default" w:ascii="Cambria Math" w:hAnsi="Cambria Math" w:eastAsia="宋体"/>
            <w:sz w:val="22"/>
          </w:rPr>
          <m:t>+</m:t>
        </m:r>
        <m:sSup>
          <m:sSupPr>
            <m:ctrlPr>
              <w:rPr>
                <w:rFonts w:hint="default" w:ascii="Cambria Math" w:hAnsi="Cambria Math" w:eastAsia="宋体"/>
                <w:b/>
                <w:bCs/>
                <w:sz w:val="22"/>
              </w:rPr>
            </m:ctrlPr>
          </m:sSupPr>
          <m:e>
            <m:r>
              <m:rPr>
                <m:sty m:val="bi"/>
              </m:rPr>
              <w:rPr>
                <w:rFonts w:hint="default" w:ascii="Cambria Math" w:hAnsi="Cambria Math" w:eastAsia="宋体"/>
                <w:sz w:val="22"/>
              </w:rPr>
              <m:t>x</m:t>
            </m:r>
            <m:ctrlPr>
              <w:rPr>
                <w:rFonts w:ascii="Cambria Math" w:hAnsi="Cambria Math" w:eastAsia="宋体"/>
                <w:b/>
                <w:bCs/>
                <w:sz w:val="22"/>
              </w:rPr>
            </m:ctrlPr>
          </m:e>
          <m:sup>
            <m:r>
              <m:rPr>
                <m:sty m:val="bi"/>
              </m:rPr>
              <w:rPr>
                <w:rFonts w:hint="default" w:ascii="Cambria Math" w:hAnsi="Cambria Math" w:eastAsia="宋体"/>
                <w:sz w:val="22"/>
              </w:rPr>
              <m:t>5</m:t>
            </m:r>
            <m:ctrlPr>
              <w:rPr>
                <w:rFonts w:ascii="Cambria Math" w:hAnsi="Cambria Math" w:eastAsia="宋体"/>
                <w:b/>
                <w:bCs/>
                <w:sz w:val="22"/>
              </w:rPr>
            </m:ctrlPr>
          </m:sup>
        </m:sSup>
        <m:r>
          <m:rPr>
            <m:sty m:val="bi"/>
          </m:rPr>
          <w:rPr>
            <w:rFonts w:hint="default" w:ascii="Cambria Math" w:hAnsi="Cambria Math" w:eastAsia="宋体"/>
            <w:sz w:val="22"/>
          </w:rPr>
          <m:t>+1)</m:t>
        </m:r>
      </m:oMath>
    </w:p>
    <w:p w14:paraId="00000050">
      <w:pPr>
        <w:numPr>
          <w:ilvl w:val="0"/>
          <w:numId w:val="4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420"/>
          <w:tab w:val="clear" w:pos="840"/>
        </w:tabs>
        <w:spacing w:before="0" w:beforeAutospacing="0" w:after="0" w:afterAutospacing="0" w:line="275" w:lineRule="auto"/>
        <w:ind w:left="885" w:leftChars="0" w:hanging="360"/>
        <w:rPr>
          <w:rFonts w:hint="eastAsia" w:ascii="Times New Roman" w:hAnsi="Times New Roman" w:eastAsia="宋体" w:cs="微软雅黑"/>
        </w:rPr>
      </w:pPr>
      <w:r>
        <w:rPr>
          <w:rFonts w:hint="eastAsia" w:ascii="Times New Roman" w:hAnsi="Times New Roman" w:eastAsia="宋体" w:cs="微软雅黑"/>
          <w:b/>
          <w:bCs/>
          <w:color w:val="1F1F1F"/>
          <w:rtl w:val="0"/>
        </w:rPr>
        <w:t>初始值</w:t>
      </w:r>
      <w:r>
        <w:rPr>
          <w:rFonts w:hint="eastAsia" w:ascii="Times New Roman" w:hAnsi="Times New Roman" w:eastAsia="宋体" w:cs="微软雅黑"/>
          <w:color w:val="1F1F1F"/>
          <w:rtl w:val="0"/>
        </w:rPr>
        <w:t>: 0xFFFF</w:t>
      </w:r>
    </w:p>
    <w:p w14:paraId="00000051">
      <w:pPr>
        <w:numPr>
          <w:ilvl w:val="0"/>
          <w:numId w:val="4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tabs>
          <w:tab w:val="left" w:pos="420"/>
          <w:tab w:val="clear" w:pos="840"/>
        </w:tabs>
        <w:spacing w:before="0" w:beforeAutospacing="0" w:after="120" w:line="275" w:lineRule="auto"/>
        <w:ind w:left="885" w:leftChars="0" w:hanging="360"/>
        <w:rPr>
          <w:rFonts w:hint="eastAsia" w:ascii="Times New Roman" w:hAnsi="Times New Roman" w:eastAsia="宋体" w:cs="微软雅黑"/>
        </w:rPr>
      </w:pPr>
      <w:r>
        <w:rPr>
          <w:rFonts w:hint="eastAsia" w:ascii="Times New Roman" w:hAnsi="Times New Roman" w:eastAsia="宋体" w:cs="微软雅黑"/>
          <w:b/>
          <w:bCs/>
          <w:color w:val="1F1F1F"/>
          <w:rtl w:val="0"/>
        </w:rPr>
        <w:t>结果处理</w:t>
      </w:r>
      <w:r>
        <w:rPr>
          <w:rFonts w:hint="eastAsia" w:ascii="Times New Roman" w:hAnsi="Times New Roman" w:eastAsia="宋体" w:cs="微软雅黑"/>
          <w:color w:val="1F1F1F"/>
          <w:rtl w:val="0"/>
        </w:rPr>
        <w:t>: 不取反，小端传输</w:t>
      </w:r>
    </w:p>
    <w:p w14:paraId="00000052">
      <w:pPr>
        <w:pStyle w:val="3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120" w:after="120" w:line="275" w:lineRule="auto"/>
        <w:rPr>
          <w:rFonts w:hint="eastAsia" w:ascii="Times New Roman" w:hAnsi="Times New Roman" w:eastAsia="微软雅黑" w:cs="微软雅黑"/>
          <w:color w:val="1F1F1F"/>
        </w:rPr>
      </w:pPr>
      <w:r>
        <w:rPr>
          <w:rFonts w:hint="eastAsia" w:ascii="Times New Roman" w:hAnsi="Times New Roman" w:eastAsia="微软雅黑" w:cs="微软雅黑"/>
          <w:color w:val="1F1F1F"/>
          <w:rtl w:val="0"/>
        </w:rPr>
        <w:t>4. 以太网通信协议</w:t>
      </w:r>
    </w:p>
    <w:p w14:paraId="00000053">
      <w:pPr>
        <w:pStyle w:val="4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75" w:lineRule="auto"/>
        <w:rPr>
          <w:rFonts w:hint="eastAsia" w:ascii="Times New Roman" w:hAnsi="Times New Roman" w:eastAsia="微软雅黑" w:cs="微软雅黑"/>
          <w:color w:val="1F1F1F"/>
        </w:rPr>
      </w:pPr>
      <w:r>
        <w:rPr>
          <w:rFonts w:hint="eastAsia" w:ascii="Times New Roman" w:hAnsi="Times New Roman" w:eastAsia="微软雅黑" w:cs="微软雅黑"/>
          <w:color w:val="1F1F1F"/>
          <w:rtl w:val="0"/>
        </w:rPr>
        <w:t>4.1 端口分配</w:t>
      </w:r>
    </w:p>
    <w:tbl>
      <w:tblPr>
        <w:tblStyle w:val="15"/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100" w:type="dxa"/>
          <w:left w:w="100" w:type="dxa"/>
          <w:bottom w:w="100" w:type="dxa"/>
          <w:right w:w="100" w:type="dxa"/>
        </w:tblCellMar>
      </w:tblPr>
      <w:tblGrid>
        <w:gridCol w:w="1687"/>
        <w:gridCol w:w="1688"/>
        <w:gridCol w:w="1406"/>
        <w:gridCol w:w="908"/>
        <w:gridCol w:w="2121"/>
        <w:gridCol w:w="1906"/>
      </w:tblGrid>
      <w:tr w14:paraId="7C318D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8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54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  <w:t>发送方</w:t>
            </w:r>
          </w:p>
        </w:tc>
        <w:tc>
          <w:tcPr>
            <w:tcW w:w="8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55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  <w:t>接收方</w:t>
            </w: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5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  <w:t>信息类型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57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  <w:t>协议</w:t>
            </w:r>
          </w:p>
        </w:tc>
        <w:tc>
          <w:tcPr>
            <w:tcW w:w="1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58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  <w:t>目标端口 (Base)</w:t>
            </w:r>
          </w:p>
        </w:tc>
        <w:tc>
          <w:tcPr>
            <w:tcW w:w="9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59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  <w:t>备注</w:t>
            </w:r>
          </w:p>
        </w:tc>
      </w:tr>
      <w:tr w14:paraId="6D781E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8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5A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SPS</w:t>
            </w:r>
          </w:p>
        </w:tc>
        <w:tc>
          <w:tcPr>
            <w:tcW w:w="8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5B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DACS (1~3)</w:t>
            </w: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5C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控制命令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5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UDP</w:t>
            </w:r>
          </w:p>
        </w:tc>
        <w:tc>
          <w:tcPr>
            <w:tcW w:w="1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5E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10011 ~ 10013</w:t>
            </w:r>
          </w:p>
        </w:tc>
        <w:tc>
          <w:tcPr>
            <w:tcW w:w="9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5F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+0, +1, +2</w:t>
            </w:r>
          </w:p>
        </w:tc>
      </w:tr>
      <w:tr w14:paraId="2CD607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8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60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DACS (1~3)</w:t>
            </w:r>
          </w:p>
        </w:tc>
        <w:tc>
          <w:tcPr>
            <w:tcW w:w="8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61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SPS</w:t>
            </w: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6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状态信息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63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UDP</w:t>
            </w:r>
          </w:p>
        </w:tc>
        <w:tc>
          <w:tcPr>
            <w:tcW w:w="1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64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10021 ~ 10023</w:t>
            </w:r>
          </w:p>
        </w:tc>
        <w:tc>
          <w:tcPr>
            <w:tcW w:w="9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65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+0, +1, +2</w:t>
            </w:r>
          </w:p>
        </w:tc>
      </w:tr>
      <w:tr w14:paraId="73D08F8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8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6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  <w:t>DACS (1~3)</w:t>
            </w:r>
          </w:p>
        </w:tc>
        <w:tc>
          <w:tcPr>
            <w:tcW w:w="8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67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  <w:t>SPS</w:t>
            </w:r>
          </w:p>
        </w:tc>
        <w:tc>
          <w:tcPr>
            <w:tcW w:w="7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68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  <w:t>回波数据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69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  <w:t>UDP</w:t>
            </w:r>
          </w:p>
        </w:tc>
        <w:tc>
          <w:tcPr>
            <w:tcW w:w="10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6A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  <w:t>10031 ~ 10033</w:t>
            </w:r>
          </w:p>
        </w:tc>
        <w:tc>
          <w:tcPr>
            <w:tcW w:w="9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6B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  <w:t>需开启巨型帧</w:t>
            </w:r>
          </w:p>
        </w:tc>
      </w:tr>
    </w:tbl>
    <w:p w14:paraId="0000006C">
      <w:pPr>
        <w:pStyle w:val="4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480" w:after="120" w:line="275" w:lineRule="auto"/>
        <w:rPr>
          <w:rFonts w:hint="eastAsia" w:ascii="Times New Roman" w:hAnsi="Times New Roman" w:eastAsia="微软雅黑" w:cs="微软雅黑"/>
          <w:color w:val="1F1F1F"/>
        </w:rPr>
      </w:pPr>
      <w:r>
        <w:rPr>
          <w:rFonts w:hint="eastAsia" w:ascii="Times New Roman" w:hAnsi="Times New Roman" w:eastAsia="微软雅黑" w:cs="微软雅黑"/>
          <w:color w:val="1F1F1F"/>
          <w:rtl w:val="0"/>
        </w:rPr>
        <w:t>4.2 通用报文头结构 (Ethernet Header)</w:t>
      </w:r>
    </w:p>
    <w:p w14:paraId="000000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="Times New Roman" w:hAnsi="Times New Roman" w:eastAsia="Arial" w:cs="Arial"/>
          <w:rtl w:val="0"/>
        </w:rPr>
      </w:pPr>
      <w:r>
        <w:rPr>
          <w:rFonts w:hint="eastAsia" w:ascii="Times New Roman" w:hAnsi="Times New Roman" w:eastAsia="Arial" w:cs="Arial"/>
          <w:rtl w:val="0"/>
        </w:rPr>
        <w:t>所有以太网UDP报文（命令、状态、回波）均包含以下标准包头（15字节）：</w:t>
      </w:r>
    </w:p>
    <w:tbl>
      <w:tblPr>
        <w:tblStyle w:val="16"/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100" w:type="dxa"/>
          <w:left w:w="100" w:type="dxa"/>
          <w:bottom w:w="100" w:type="dxa"/>
          <w:right w:w="100" w:type="dxa"/>
        </w:tblCellMar>
      </w:tblPr>
      <w:tblGrid>
        <w:gridCol w:w="1178"/>
        <w:gridCol w:w="1974"/>
        <w:gridCol w:w="1178"/>
        <w:gridCol w:w="1355"/>
        <w:gridCol w:w="4031"/>
      </w:tblGrid>
      <w:tr w14:paraId="599872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6E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  <w:t>偏移</w:t>
            </w:r>
          </w:p>
        </w:tc>
        <w:tc>
          <w:tcPr>
            <w:tcW w:w="10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6F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  <w:t>字段名称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70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  <w:t>长度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71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  <w:t>类型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top"/>
          </w:tcPr>
          <w:p w14:paraId="0000007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  <w:t>说明</w:t>
            </w:r>
          </w:p>
        </w:tc>
      </w:tr>
      <w:tr w14:paraId="0F0F20A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73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0</w:t>
            </w:r>
          </w:p>
        </w:tc>
        <w:tc>
          <w:tcPr>
            <w:tcW w:w="10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74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SenderID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75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1B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7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uint8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77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发送设备编号</w:t>
            </w:r>
          </w:p>
        </w:tc>
      </w:tr>
      <w:tr w14:paraId="558F50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78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</w:t>
            </w:r>
          </w:p>
        </w:tc>
        <w:tc>
          <w:tcPr>
            <w:tcW w:w="10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79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RespFlag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7A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1B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7B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uint8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7C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响应标志 (0:无需, 1:需要)</w:t>
            </w:r>
          </w:p>
        </w:tc>
      </w:tr>
      <w:tr w14:paraId="53CBFA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7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2</w:t>
            </w:r>
          </w:p>
        </w:tc>
        <w:tc>
          <w:tcPr>
            <w:tcW w:w="10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7E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SeqID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7F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2B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80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uint16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81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命令序号 (循环计数)</w:t>
            </w:r>
          </w:p>
        </w:tc>
      </w:tr>
      <w:tr w14:paraId="7E408E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8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4</w:t>
            </w:r>
          </w:p>
        </w:tc>
        <w:tc>
          <w:tcPr>
            <w:tcW w:w="10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83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TargetID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84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1B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85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uint8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8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受控设备编号</w:t>
            </w:r>
          </w:p>
        </w:tc>
      </w:tr>
      <w:tr w14:paraId="0EDC4B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87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5</w:t>
            </w:r>
          </w:p>
        </w:tc>
        <w:tc>
          <w:tcPr>
            <w:tcW w:w="10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88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CmdCode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89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1B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8A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uint8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8B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命令编号 (见附录A)</w:t>
            </w:r>
          </w:p>
        </w:tc>
      </w:tr>
      <w:tr w14:paraId="5F4B19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8C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6</w:t>
            </w:r>
          </w:p>
        </w:tc>
        <w:tc>
          <w:tcPr>
            <w:tcW w:w="10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8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RetryCnt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8E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1B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8F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uint8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90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重发次数 (0-2)</w:t>
            </w:r>
          </w:p>
        </w:tc>
      </w:tr>
      <w:tr w14:paraId="3BF208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91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7</w:t>
            </w:r>
          </w:p>
        </w:tc>
        <w:tc>
          <w:tcPr>
            <w:tcW w:w="10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9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Timestamp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93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4B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94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uint32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95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数据生成时间 (秒计数)</w:t>
            </w:r>
          </w:p>
        </w:tc>
      </w:tr>
      <w:tr w14:paraId="5928C55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9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11</w:t>
            </w:r>
          </w:p>
        </w:tc>
        <w:tc>
          <w:tcPr>
            <w:tcW w:w="10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97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Version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98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2B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99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uint16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9A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版本号/子序号</w:t>
            </w:r>
          </w:p>
        </w:tc>
      </w:tr>
      <w:tr w14:paraId="1ACD4AF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9B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13</w:t>
            </w:r>
          </w:p>
        </w:tc>
        <w:tc>
          <w:tcPr>
            <w:tcW w:w="10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9C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DataLen</w:t>
            </w:r>
          </w:p>
        </w:tc>
        <w:tc>
          <w:tcPr>
            <w:tcW w:w="6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9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2B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9E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uint16</w:t>
            </w:r>
          </w:p>
        </w:tc>
        <w:tc>
          <w:tcPr>
            <w:tcW w:w="20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9F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后续载荷长度 (不含包头)</w:t>
            </w:r>
          </w:p>
        </w:tc>
      </w:tr>
    </w:tbl>
    <w:p w14:paraId="000000A0">
      <w:pPr>
        <w:pStyle w:val="3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480" w:after="120" w:line="275" w:lineRule="auto"/>
        <w:rPr>
          <w:rFonts w:hint="eastAsia" w:ascii="Times New Roman" w:hAnsi="Times New Roman" w:eastAsia="微软雅黑" w:cs="微软雅黑"/>
          <w:color w:val="1F1F1F"/>
        </w:rPr>
      </w:pPr>
      <w:r>
        <w:rPr>
          <w:rFonts w:hint="eastAsia" w:ascii="Times New Roman" w:hAnsi="Times New Roman" w:eastAsia="微软雅黑" w:cs="微软雅黑"/>
          <w:color w:val="1F1F1F"/>
          <w:rtl w:val="0"/>
        </w:rPr>
        <w:t>5. 详细载荷定义</w:t>
      </w:r>
    </w:p>
    <w:p w14:paraId="000000A1">
      <w:pPr>
        <w:pStyle w:val="4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75" w:lineRule="auto"/>
        <w:rPr>
          <w:rFonts w:hint="eastAsia" w:ascii="Times New Roman" w:hAnsi="Times New Roman" w:eastAsia="微软雅黑" w:cs="微软雅黑"/>
          <w:color w:val="1F1F1F"/>
        </w:rPr>
      </w:pPr>
      <w:r>
        <w:rPr>
          <w:rFonts w:hint="eastAsia" w:ascii="Times New Roman" w:hAnsi="Times New Roman" w:eastAsia="微软雅黑" w:cs="微软雅黑"/>
          <w:color w:val="1F1F1F"/>
          <w:rtl w:val="0"/>
        </w:rPr>
        <w:t xml:space="preserve">5.1 参数安排数据包 (SPS </w:t>
      </w:r>
      <w:r>
        <w:rPr>
          <w:rFonts w:hint="eastAsia" w:ascii="Times New Roman" w:hAnsi="Times New Roman" w:eastAsia="微软雅黑" w:cs="微软雅黑"/>
          <w:color w:val="1F1F1F"/>
          <w:rtl w:val="0"/>
          <w:lang w:eastAsia="zh-CN"/>
        </w:rPr>
        <w:t>—&gt;</w:t>
      </w:r>
      <w:r>
        <w:rPr>
          <w:rFonts w:hint="eastAsia" w:ascii="Times New Roman" w:hAnsi="Times New Roman" w:eastAsia="微软雅黑" w:cs="微软雅黑"/>
          <w:color w:val="1F1F1F"/>
          <w:rtl w:val="0"/>
        </w:rPr>
        <w:t xml:space="preserve"> DACS)</w:t>
      </w:r>
    </w:p>
    <w:p w14:paraId="000000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="Times New Roman" w:hAnsi="Times New Roman" w:eastAsia="Arial" w:cs="Arial"/>
          <w:rtl w:val="0"/>
        </w:rPr>
      </w:pPr>
      <w:r>
        <w:rPr>
          <w:rFonts w:hint="eastAsia" w:ascii="Times New Roman" w:hAnsi="Times New Roman" w:eastAsia="Arial" w:cs="Arial"/>
          <w:rtl w:val="0"/>
        </w:rPr>
        <w:t>对应命令编号：0x22 (状态设置和参数安排)</w:t>
      </w:r>
    </w:p>
    <w:tbl>
      <w:tblPr>
        <w:tblStyle w:val="17"/>
        <w:tblW w:w="5000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100" w:type="dxa"/>
          <w:left w:w="100" w:type="dxa"/>
          <w:bottom w:w="100" w:type="dxa"/>
          <w:right w:w="100" w:type="dxa"/>
        </w:tblCellMar>
      </w:tblPr>
      <w:tblGrid>
        <w:gridCol w:w="750"/>
        <w:gridCol w:w="1574"/>
        <w:gridCol w:w="897"/>
        <w:gridCol w:w="1243"/>
        <w:gridCol w:w="5256"/>
      </w:tblGrid>
      <w:tr w14:paraId="6AA65F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A3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  <w:t>序号</w:t>
            </w: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A4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  <w:t>字段名称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A5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  <w:t>类型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A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  <w:t>精度/单位</w:t>
            </w:r>
          </w:p>
        </w:tc>
        <w:tc>
          <w:tcPr>
            <w:tcW w:w="2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A7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  <w:t>说明</w:t>
            </w:r>
          </w:p>
        </w:tc>
      </w:tr>
      <w:tr w14:paraId="424327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A8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</w:t>
            </w: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A9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FrameCount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AA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uint32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AB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</w:t>
            </w:r>
          </w:p>
        </w:tc>
        <w:tc>
          <w:tcPr>
            <w:tcW w:w="2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AC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搜索帧计数</w:t>
            </w:r>
          </w:p>
        </w:tc>
      </w:tr>
      <w:tr w14:paraId="6E45DE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A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2</w:t>
            </w: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AE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BeamTotal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AF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uint16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B0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</w:t>
            </w:r>
          </w:p>
        </w:tc>
        <w:tc>
          <w:tcPr>
            <w:tcW w:w="2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B1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帧波束总数</w:t>
            </w:r>
          </w:p>
        </w:tc>
      </w:tr>
      <w:tr w14:paraId="57AF19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B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3</w:t>
            </w: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B3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SecBeamNum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B4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uint16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B5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</w:t>
            </w:r>
          </w:p>
        </w:tc>
        <w:tc>
          <w:tcPr>
            <w:tcW w:w="2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B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秒周期安排波束数</w:t>
            </w:r>
          </w:p>
        </w:tc>
      </w:tr>
      <w:tr w14:paraId="29D4E0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B7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4</w:t>
            </w: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B8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CPICount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B9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uint32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BA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</w:t>
            </w:r>
          </w:p>
        </w:tc>
        <w:tc>
          <w:tcPr>
            <w:tcW w:w="2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BB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CPI计数基数</w:t>
            </w:r>
          </w:p>
        </w:tc>
      </w:tr>
      <w:tr w14:paraId="0B6643A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BC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5</w:t>
            </w: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B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BeamID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BE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uint8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BF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</w:t>
            </w:r>
          </w:p>
        </w:tc>
        <w:tc>
          <w:tcPr>
            <w:tcW w:w="2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C0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波束编号</w:t>
            </w:r>
          </w:p>
        </w:tc>
      </w:tr>
      <w:tr w14:paraId="394BB4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C1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6</w:t>
            </w: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C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WorkStatus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C3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uint8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C4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Bitfield</w:t>
            </w:r>
          </w:p>
        </w:tc>
        <w:tc>
          <w:tcPr>
            <w:tcW w:w="2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C5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D2-0:天线模式, D4-3:收发控制, D5:射频模拟, D7-6:波束类型</w:t>
            </w:r>
          </w:p>
        </w:tc>
      </w:tr>
      <w:tr w14:paraId="5D48E4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C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7</w:t>
            </w: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C7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WidthSel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C8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uint8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C9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Bitfield</w:t>
            </w:r>
          </w:p>
        </w:tc>
        <w:tc>
          <w:tcPr>
            <w:tcW w:w="2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CA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D1-0:收发展宽, D4-2:方位展宽, D7-5:俯仰展宽</w:t>
            </w:r>
          </w:p>
        </w:tc>
      </w:tr>
      <w:tr w14:paraId="1FBD87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CB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8</w:t>
            </w: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CC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Azimuth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C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int16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CE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0.0025°</w:t>
            </w:r>
          </w:p>
        </w:tc>
        <w:tc>
          <w:tcPr>
            <w:tcW w:w="2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CF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方位指向，范围 [-65, 65] 度</w:t>
            </w:r>
          </w:p>
        </w:tc>
      </w:tr>
      <w:tr w14:paraId="23C84B9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D0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9</w:t>
            </w: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D1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Elevation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D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int16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D3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0.0025°</w:t>
            </w:r>
          </w:p>
        </w:tc>
        <w:tc>
          <w:tcPr>
            <w:tcW w:w="2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D4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俯仰指向，范围 [-65, 65] 度</w:t>
            </w:r>
          </w:p>
        </w:tc>
      </w:tr>
      <w:tr w14:paraId="7E13B7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D5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10</w:t>
            </w: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D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FreqCode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D7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uint8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D8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10MHz</w:t>
            </w:r>
          </w:p>
        </w:tc>
        <w:tc>
          <w:tcPr>
            <w:tcW w:w="2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D9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0=15.5GHz, Step=10MHz</w:t>
            </w:r>
          </w:p>
        </w:tc>
      </w:tr>
      <w:tr w14:paraId="6DC632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DA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11</w:t>
            </w: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DB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MGC_Gain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DC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uint16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D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0.5dB</w:t>
            </w:r>
          </w:p>
        </w:tc>
        <w:tc>
          <w:tcPr>
            <w:tcW w:w="2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DE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D7-0:短码增益, D15-8:长码增益</w:t>
            </w:r>
          </w:p>
        </w:tc>
      </w:tr>
      <w:tr w14:paraId="10FDB5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DF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12</w:t>
            </w: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E0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SigType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E1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uint8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E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N/A</w:t>
            </w:r>
          </w:p>
        </w:tc>
        <w:tc>
          <w:tcPr>
            <w:tcW w:w="2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E3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信号波形类型定义</w:t>
            </w:r>
          </w:p>
        </w:tc>
      </w:tr>
      <w:tr w14:paraId="36FC54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E4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13</w:t>
            </w: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E5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Bandwidth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E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uint16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E7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0.5MHz</w:t>
            </w:r>
          </w:p>
        </w:tc>
        <w:tc>
          <w:tcPr>
            <w:tcW w:w="2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E8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D7-0:短码带宽, D15-8:长码带宽</w:t>
            </w:r>
          </w:p>
        </w:tc>
      </w:tr>
      <w:tr w14:paraId="63F8446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E9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14</w:t>
            </w: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EA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PulseWidth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EB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uint16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EC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0.5us</w:t>
            </w:r>
          </w:p>
        </w:tc>
        <w:tc>
          <w:tcPr>
            <w:tcW w:w="2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E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D7-0:短码脉宽, D15-8:长码脉宽</w:t>
            </w:r>
          </w:p>
        </w:tc>
      </w:tr>
      <w:tr w14:paraId="4C4ED1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EE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15</w:t>
            </w: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EF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PRT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F0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uint16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F1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1us</w:t>
            </w:r>
          </w:p>
        </w:tc>
        <w:tc>
          <w:tcPr>
            <w:tcW w:w="2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F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脉冲重复周期</w:t>
            </w:r>
          </w:p>
        </w:tc>
      </w:tr>
      <w:tr w14:paraId="3BA51F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F3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16</w:t>
            </w: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F4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AccPoints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F5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uint16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F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</w:t>
            </w:r>
          </w:p>
        </w:tc>
        <w:tc>
          <w:tcPr>
            <w:tcW w:w="2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F7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积累点数</w:t>
            </w:r>
          </w:p>
        </w:tc>
      </w:tr>
      <w:tr w14:paraId="360741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F8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17</w:t>
            </w: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F9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SimDelay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FA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uint16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FB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0.01us</w:t>
            </w:r>
          </w:p>
        </w:tc>
        <w:tc>
          <w:tcPr>
            <w:tcW w:w="2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FC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模拟目标距离延迟</w:t>
            </w:r>
          </w:p>
        </w:tc>
      </w:tr>
      <w:tr w14:paraId="4423B3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F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18</w:t>
            </w: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FE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SimSpeed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0FF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int16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00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360/2^15</w:t>
            </w:r>
          </w:p>
        </w:tc>
        <w:tc>
          <w:tcPr>
            <w:tcW w:w="2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01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模拟目标速度</w:t>
            </w:r>
          </w:p>
        </w:tc>
      </w:tr>
      <w:tr w14:paraId="1EE993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0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19</w:t>
            </w: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03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SampShort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04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uint16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05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</w:t>
            </w:r>
          </w:p>
        </w:tc>
        <w:tc>
          <w:tcPr>
            <w:tcW w:w="2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0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短码采样点数</w:t>
            </w:r>
          </w:p>
        </w:tc>
      </w:tr>
      <w:tr w14:paraId="223784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07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20</w:t>
            </w: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08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SampLong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09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uint16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0A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</w:t>
            </w:r>
          </w:p>
        </w:tc>
        <w:tc>
          <w:tcPr>
            <w:tcW w:w="2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0B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长码采样点数</w:t>
            </w:r>
          </w:p>
        </w:tc>
      </w:tr>
      <w:tr w14:paraId="6FB990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3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0C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21</w:t>
            </w:r>
          </w:p>
        </w:tc>
        <w:tc>
          <w:tcPr>
            <w:tcW w:w="8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0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DataRate</w:t>
            </w:r>
          </w:p>
        </w:tc>
        <w:tc>
          <w:tcPr>
            <w:tcW w:w="4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0E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uint8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0F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1Mbps</w:t>
            </w:r>
          </w:p>
        </w:tc>
        <w:tc>
          <w:tcPr>
            <w:tcW w:w="2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10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采样率</w:t>
            </w:r>
          </w:p>
        </w:tc>
      </w:tr>
    </w:tbl>
    <w:p w14:paraId="00000111">
      <w:pPr>
        <w:pStyle w:val="4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480" w:after="120" w:line="275" w:lineRule="auto"/>
        <w:rPr>
          <w:rFonts w:hint="eastAsia" w:ascii="Times New Roman" w:hAnsi="Times New Roman" w:eastAsia="微软雅黑" w:cs="微软雅黑"/>
          <w:color w:val="1F1F1F"/>
        </w:rPr>
      </w:pPr>
      <w:r>
        <w:rPr>
          <w:rFonts w:hint="eastAsia" w:ascii="Times New Roman" w:hAnsi="Times New Roman" w:eastAsia="微软雅黑" w:cs="微软雅黑"/>
          <w:color w:val="1F1F1F"/>
          <w:rtl w:val="0"/>
        </w:rPr>
        <w:t xml:space="preserve">5.2 回波AD数据包 (DACS </w:t>
      </w:r>
      <w:r>
        <w:rPr>
          <w:rFonts w:hint="eastAsia" w:ascii="Times New Roman" w:hAnsi="Times New Roman" w:eastAsia="微软雅黑" w:cs="微软雅黑"/>
          <w:color w:val="1F1F1F"/>
          <w:rtl w:val="0"/>
          <w:lang w:eastAsia="zh-CN"/>
        </w:rPr>
        <w:t>—</w:t>
      </w:r>
      <w:r>
        <w:rPr>
          <w:rFonts w:hint="eastAsia" w:ascii="Times New Roman" w:hAnsi="Times New Roman" w:eastAsia="微软雅黑" w:cs="微软雅黑"/>
          <w:color w:val="1F1F1F"/>
          <w:rtl w:val="0"/>
        </w:rPr>
        <w:t>&gt; SPS)</w:t>
      </w:r>
    </w:p>
    <w:p w14:paraId="00000112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after="240" w:line="275" w:lineRule="auto"/>
        <w:rPr>
          <w:rFonts w:hint="default" w:asciiTheme="minorEastAsia" w:hAnsiTheme="minorEastAsia" w:eastAsiaTheme="minorEastAsia" w:cstheme="minorEastAsia"/>
          <w:b w:val="0"/>
          <w:bCs w:val="0"/>
          <w:color w:val="auto"/>
          <w:highlight w:val="yellow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highlight w:val="yellow"/>
          <w:rtl w:val="0"/>
        </w:rPr>
        <w:t>注意：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highlight w:val="yellow"/>
          <w:rtl w:val="0"/>
        </w:rPr>
        <w:t xml:space="preserve">该数据包载荷通常超过 </w:t>
      </w:r>
      <w:r>
        <w:rPr>
          <w:rFonts w:hint="eastAsia" w:ascii="Times New Roman" w:hAnsi="Times New Roman" w:eastAsiaTheme="minorEastAsia" w:cstheme="minorEastAsia"/>
          <w:b w:val="0"/>
          <w:bCs w:val="0"/>
          <w:color w:val="auto"/>
          <w:highlight w:val="yellow"/>
          <w:rtl w:val="0"/>
        </w:rPr>
        <w:t>1500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highlight w:val="yellow"/>
          <w:rtl w:val="0"/>
        </w:rPr>
        <w:t xml:space="preserve"> 字节，严禁依赖 </w:t>
      </w:r>
      <w:r>
        <w:rPr>
          <w:rFonts w:hint="eastAsia" w:ascii="Times New Roman" w:hAnsi="Times New Roman" w:eastAsiaTheme="minorEastAsia" w:cstheme="minorEastAsia"/>
          <w:b w:val="0"/>
          <w:bCs w:val="0"/>
          <w:color w:val="auto"/>
          <w:highlight w:val="yellow"/>
          <w:rtl w:val="0"/>
        </w:rPr>
        <w:t xml:space="preserve">IP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highlight w:val="yellow"/>
          <w:rtl w:val="0"/>
        </w:rPr>
        <w:t xml:space="preserve">分片。网络交换设备必须配置 </w:t>
      </w:r>
      <w:r>
        <w:rPr>
          <w:rFonts w:hint="eastAsia" w:ascii="Times New Roman" w:hAnsi="Times New Roman" w:eastAsiaTheme="minorEastAsia" w:cstheme="minorEastAsia"/>
          <w:b w:val="0"/>
          <w:bCs w:val="0"/>
          <w:color w:val="auto"/>
          <w:highlight w:val="yellow"/>
          <w:rtl w:val="0"/>
        </w:rPr>
        <w:t>MTU 9000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highlight w:val="yellow"/>
          <w:rtl w:val="0"/>
        </w:rPr>
        <w:t>。</w:t>
      </w:r>
    </w:p>
    <w:tbl>
      <w:tblPr>
        <w:tblStyle w:val="18"/>
        <w:tblW w:w="4999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100" w:type="dxa"/>
          <w:left w:w="100" w:type="dxa"/>
          <w:bottom w:w="100" w:type="dxa"/>
          <w:right w:w="100" w:type="dxa"/>
        </w:tblCellMar>
      </w:tblPr>
      <w:tblGrid>
        <w:gridCol w:w="857"/>
        <w:gridCol w:w="1462"/>
        <w:gridCol w:w="974"/>
        <w:gridCol w:w="6425"/>
      </w:tblGrid>
      <w:tr w14:paraId="3C22801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13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  <w:t>序号</w:t>
            </w:r>
          </w:p>
        </w:tc>
        <w:tc>
          <w:tcPr>
            <w:tcW w:w="7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14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  <w:t>字段名称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15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  <w:t>类型</w:t>
            </w:r>
          </w:p>
        </w:tc>
        <w:tc>
          <w:tcPr>
            <w:tcW w:w="3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1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  <w:t>说明</w:t>
            </w:r>
          </w:p>
        </w:tc>
      </w:tr>
      <w:tr w14:paraId="71F388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17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</w:t>
            </w:r>
          </w:p>
        </w:tc>
        <w:tc>
          <w:tcPr>
            <w:tcW w:w="7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18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CPICount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19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uint32</w:t>
            </w:r>
          </w:p>
        </w:tc>
        <w:tc>
          <w:tcPr>
            <w:tcW w:w="3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1A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CPI计数</w:t>
            </w:r>
          </w:p>
        </w:tc>
      </w:tr>
      <w:tr w14:paraId="256F64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1B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2-21</w:t>
            </w:r>
          </w:p>
        </w:tc>
        <w:tc>
          <w:tcPr>
            <w:tcW w:w="7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1C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(参数回传)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1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-</w:t>
            </w:r>
          </w:p>
        </w:tc>
        <w:tc>
          <w:tcPr>
            <w:tcW w:w="3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1E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包含当前CPI的实际执行参数（结构同5.1节序号6-21）</w:t>
            </w:r>
          </w:p>
        </w:tc>
      </w:tr>
      <w:tr w14:paraId="041D1E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1F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22</w:t>
            </w:r>
          </w:p>
        </w:tc>
        <w:tc>
          <w:tcPr>
            <w:tcW w:w="7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20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PRT_Count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21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uint16</w:t>
            </w:r>
          </w:p>
        </w:tc>
        <w:tc>
          <w:tcPr>
            <w:tcW w:w="3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2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N (脉冲个数)</w:t>
            </w:r>
          </w:p>
        </w:tc>
      </w:tr>
      <w:tr w14:paraId="533F10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23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23</w:t>
            </w:r>
          </w:p>
        </w:tc>
        <w:tc>
          <w:tcPr>
            <w:tcW w:w="7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24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IQ_Data</w:t>
            </w:r>
          </w:p>
        </w:tc>
        <w:tc>
          <w:tcPr>
            <w:tcW w:w="5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25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Buffer</w:t>
            </w:r>
          </w:p>
        </w:tc>
        <w:tc>
          <w:tcPr>
            <w:tcW w:w="3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27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  <w:lang w:eastAsia="zh-CN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变长数据区。排列格式：</w:t>
            </w:r>
          </w:p>
          <w:p w14:paraId="00000128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N * (和路短码IQ + 和路长码IQ + 差路短码IQ ... + 辅助路IQ)</w:t>
            </w:r>
          </w:p>
        </w:tc>
      </w:tr>
    </w:tbl>
    <w:p w14:paraId="00000129">
      <w:pPr>
        <w:pStyle w:val="3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480" w:after="120" w:line="275" w:lineRule="auto"/>
        <w:rPr>
          <w:rFonts w:hint="eastAsia" w:ascii="Times New Roman" w:hAnsi="Times New Roman" w:eastAsia="微软雅黑" w:cs="微软雅黑"/>
          <w:color w:val="1F1F1F"/>
        </w:rPr>
      </w:pPr>
      <w:r>
        <w:rPr>
          <w:rFonts w:hint="eastAsia" w:ascii="Times New Roman" w:hAnsi="Times New Roman" w:eastAsia="微软雅黑" w:cs="微软雅黑"/>
          <w:color w:val="1F1F1F"/>
          <w:rtl w:val="0"/>
        </w:rPr>
        <w:t>6. 串行通信协议 (DACS &lt;</w:t>
      </w:r>
      <w:r>
        <w:rPr>
          <w:rFonts w:hint="eastAsia" w:ascii="Times New Roman" w:hAnsi="Times New Roman" w:eastAsia="微软雅黑" w:cs="微软雅黑"/>
          <w:color w:val="1F1F1F"/>
          <w:rtl w:val="0"/>
          <w:lang w:eastAsia="zh-CN"/>
        </w:rPr>
        <w:t>—&gt;</w:t>
      </w:r>
      <w:r>
        <w:rPr>
          <w:rFonts w:hint="eastAsia" w:ascii="Times New Roman" w:hAnsi="Times New Roman" w:eastAsia="微软雅黑" w:cs="微软雅黑"/>
          <w:color w:val="1F1F1F"/>
          <w:rtl w:val="0"/>
        </w:rPr>
        <w:t xml:space="preserve"> 天馈)</w:t>
      </w:r>
    </w:p>
    <w:p w14:paraId="0000012A">
      <w:pPr>
        <w:pStyle w:val="4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120" w:line="275" w:lineRule="auto"/>
        <w:rPr>
          <w:rFonts w:hint="eastAsia" w:ascii="Times New Roman" w:hAnsi="Times New Roman" w:eastAsia="微软雅黑" w:cs="微软雅黑"/>
          <w:color w:val="1F1F1F"/>
        </w:rPr>
      </w:pPr>
      <w:r>
        <w:rPr>
          <w:rFonts w:hint="eastAsia" w:ascii="Times New Roman" w:hAnsi="Times New Roman" w:eastAsia="微软雅黑" w:cs="微软雅黑"/>
          <w:color w:val="1F1F1F"/>
          <w:rtl w:val="0"/>
        </w:rPr>
        <w:t xml:space="preserve">6.1 下行控制包 (DACS </w:t>
      </w:r>
      <w:r>
        <w:rPr>
          <w:rFonts w:hint="eastAsia" w:ascii="Times New Roman" w:hAnsi="Times New Roman" w:eastAsia="微软雅黑" w:cs="微软雅黑"/>
          <w:color w:val="1F1F1F"/>
          <w:rtl w:val="0"/>
          <w:lang w:eastAsia="zh-CN"/>
        </w:rPr>
        <w:t>—&gt;</w:t>
      </w:r>
      <w:r>
        <w:rPr>
          <w:rFonts w:hint="eastAsia" w:ascii="Times New Roman" w:hAnsi="Times New Roman" w:eastAsia="微软雅黑" w:cs="微软雅黑"/>
          <w:color w:val="1F1F1F"/>
          <w:rtl w:val="0"/>
        </w:rPr>
        <w:t xml:space="preserve"> ANT)</w:t>
      </w:r>
    </w:p>
    <w:p w14:paraId="0000012B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after="240" w:line="275" w:lineRule="auto"/>
        <w:rPr>
          <w:rFonts w:hint="eastAsia" w:ascii="Times New Roman" w:hAnsi="Times New Roman" w:eastAsia="宋体" w:cs="微软雅黑"/>
          <w:color w:val="1F1F1F"/>
        </w:rPr>
      </w:pPr>
      <w:r>
        <w:rPr>
          <w:rFonts w:hint="eastAsia" w:ascii="Times New Roman" w:hAnsi="Times New Roman" w:eastAsia="宋体" w:cs="微软雅黑"/>
          <w:color w:val="1F1F1F"/>
          <w:rtl w:val="0"/>
        </w:rPr>
        <w:t xml:space="preserve">采用定长数据帧，总长度 </w:t>
      </w:r>
      <w:r>
        <w:rPr>
          <w:rFonts w:hint="eastAsia" w:ascii="Times New Roman" w:hAnsi="Times New Roman" w:eastAsia="宋体" w:cs="微软雅黑"/>
          <w:b/>
          <w:bCs/>
          <w:color w:val="1F1F1F"/>
          <w:rtl w:val="0"/>
        </w:rPr>
        <w:t>24 Bytes</w:t>
      </w:r>
      <w:r>
        <w:rPr>
          <w:rFonts w:hint="eastAsia" w:ascii="Times New Roman" w:hAnsi="Times New Roman" w:eastAsia="宋体" w:cs="微软雅黑"/>
          <w:color w:val="1F1F1F"/>
          <w:rtl w:val="0"/>
        </w:rPr>
        <w:t>。</w:t>
      </w:r>
    </w:p>
    <w:tbl>
      <w:tblPr>
        <w:tblStyle w:val="19"/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100" w:type="dxa"/>
          <w:left w:w="100" w:type="dxa"/>
          <w:bottom w:w="100" w:type="dxa"/>
          <w:right w:w="100" w:type="dxa"/>
        </w:tblCellMar>
      </w:tblPr>
      <w:tblGrid>
        <w:gridCol w:w="1368"/>
        <w:gridCol w:w="2372"/>
        <w:gridCol w:w="1369"/>
        <w:gridCol w:w="4607"/>
      </w:tblGrid>
      <w:tr w14:paraId="136716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2C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  <w:t>偏移</w:t>
            </w:r>
          </w:p>
        </w:tc>
        <w:tc>
          <w:tcPr>
            <w:tcW w:w="1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2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  <w:t>字段名称</w:t>
            </w: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2E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  <w:t>长度</w:t>
            </w:r>
          </w:p>
        </w:tc>
        <w:tc>
          <w:tcPr>
            <w:tcW w:w="2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2F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="微软雅黑" w:cs="微软雅黑"/>
                <w:b/>
                <w:bCs w:val="0"/>
                <w:color w:val="000000"/>
                <w:sz w:val="21"/>
                <w:szCs w:val="21"/>
                <w:shd w:val="clear" w:fill="auto"/>
                <w:rtl w:val="0"/>
              </w:rPr>
              <w:t>说明</w:t>
            </w:r>
          </w:p>
        </w:tc>
      </w:tr>
      <w:tr w14:paraId="540FDA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30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0</w:t>
            </w:r>
          </w:p>
        </w:tc>
        <w:tc>
          <w:tcPr>
            <w:tcW w:w="1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31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Header</w:t>
            </w: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3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2B</w:t>
            </w:r>
          </w:p>
        </w:tc>
        <w:tc>
          <w:tcPr>
            <w:tcW w:w="2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33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固定 0x55AA</w:t>
            </w:r>
          </w:p>
        </w:tc>
      </w:tr>
      <w:tr w14:paraId="639BB2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34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2</w:t>
            </w:r>
          </w:p>
        </w:tc>
        <w:tc>
          <w:tcPr>
            <w:tcW w:w="1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35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DestID</w:t>
            </w: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3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1B</w:t>
            </w:r>
          </w:p>
        </w:tc>
        <w:tc>
          <w:tcPr>
            <w:tcW w:w="2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37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固定 0x05 (天馈)</w:t>
            </w:r>
          </w:p>
        </w:tc>
      </w:tr>
      <w:tr w14:paraId="5EF1FDA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38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3</w:t>
            </w:r>
          </w:p>
        </w:tc>
        <w:tc>
          <w:tcPr>
            <w:tcW w:w="1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39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SrcID</w:t>
            </w: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3A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1B</w:t>
            </w:r>
          </w:p>
        </w:tc>
        <w:tc>
          <w:tcPr>
            <w:tcW w:w="2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3B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DACS ID (0x02/03/04)</w:t>
            </w:r>
          </w:p>
        </w:tc>
      </w:tr>
      <w:tr w14:paraId="77C64B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3C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4</w:t>
            </w:r>
          </w:p>
        </w:tc>
        <w:tc>
          <w:tcPr>
            <w:tcW w:w="1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3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TotalLen</w:t>
            </w: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3E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2B</w:t>
            </w:r>
          </w:p>
        </w:tc>
        <w:tc>
          <w:tcPr>
            <w:tcW w:w="2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3F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固定 24 (0x0018)</w:t>
            </w:r>
          </w:p>
        </w:tc>
      </w:tr>
      <w:tr w14:paraId="20D4F9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40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6</w:t>
            </w:r>
          </w:p>
        </w:tc>
        <w:tc>
          <w:tcPr>
            <w:tcW w:w="1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41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CPICount</w:t>
            </w: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4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4B</w:t>
            </w:r>
          </w:p>
        </w:tc>
        <w:tc>
          <w:tcPr>
            <w:tcW w:w="2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43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CPI/波束计数</w:t>
            </w:r>
          </w:p>
        </w:tc>
      </w:tr>
      <w:tr w14:paraId="3004CC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44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10</w:t>
            </w:r>
          </w:p>
        </w:tc>
        <w:tc>
          <w:tcPr>
            <w:tcW w:w="1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45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WorkMode</w:t>
            </w: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4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1B</w:t>
            </w:r>
          </w:p>
        </w:tc>
        <w:tc>
          <w:tcPr>
            <w:tcW w:w="2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47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工作方式 (同表A.3)</w:t>
            </w:r>
          </w:p>
        </w:tc>
      </w:tr>
      <w:tr w14:paraId="6DE6FE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48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11</w:t>
            </w:r>
          </w:p>
        </w:tc>
        <w:tc>
          <w:tcPr>
            <w:tcW w:w="1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49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WidthSel</w:t>
            </w: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4A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1B</w:t>
            </w:r>
          </w:p>
        </w:tc>
        <w:tc>
          <w:tcPr>
            <w:tcW w:w="2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4B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展宽选择 (同表A.3)</w:t>
            </w:r>
          </w:p>
        </w:tc>
      </w:tr>
      <w:tr w14:paraId="2E3A7A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4C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12</w:t>
            </w:r>
          </w:p>
        </w:tc>
        <w:tc>
          <w:tcPr>
            <w:tcW w:w="1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4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Azimuth</w:t>
            </w: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4E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2B</w:t>
            </w:r>
          </w:p>
        </w:tc>
        <w:tc>
          <w:tcPr>
            <w:tcW w:w="2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4F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方位指向 (0.0025°/LSB)</w:t>
            </w:r>
          </w:p>
        </w:tc>
      </w:tr>
      <w:tr w14:paraId="0E17C6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50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14</w:t>
            </w:r>
          </w:p>
        </w:tc>
        <w:tc>
          <w:tcPr>
            <w:tcW w:w="1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51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Elevation</w:t>
            </w: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5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2B</w:t>
            </w:r>
          </w:p>
        </w:tc>
        <w:tc>
          <w:tcPr>
            <w:tcW w:w="2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53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俯仰指向 (0.0025°/LSB)</w:t>
            </w:r>
          </w:p>
        </w:tc>
      </w:tr>
      <w:tr w14:paraId="2C7311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54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16</w:t>
            </w:r>
          </w:p>
        </w:tc>
        <w:tc>
          <w:tcPr>
            <w:tcW w:w="1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55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Frequency</w:t>
            </w: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5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1B</w:t>
            </w:r>
          </w:p>
        </w:tc>
        <w:tc>
          <w:tcPr>
            <w:tcW w:w="2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57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工作频率代码</w:t>
            </w:r>
          </w:p>
        </w:tc>
      </w:tr>
      <w:tr w14:paraId="5B32DD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58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17</w:t>
            </w:r>
          </w:p>
        </w:tc>
        <w:tc>
          <w:tcPr>
            <w:tcW w:w="1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59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MGC_Gain</w:t>
            </w: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5A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2B</w:t>
            </w:r>
          </w:p>
        </w:tc>
        <w:tc>
          <w:tcPr>
            <w:tcW w:w="2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5B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MGC 增益控制</w:t>
            </w:r>
          </w:p>
        </w:tc>
      </w:tr>
      <w:tr w14:paraId="16EF73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5C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  <w:t>19</w:t>
            </w:r>
          </w:p>
        </w:tc>
        <w:tc>
          <w:tcPr>
            <w:tcW w:w="1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5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  <w:t>Reserved</w:t>
            </w: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5E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  <w:t>3B</w:t>
            </w:r>
          </w:p>
        </w:tc>
        <w:tc>
          <w:tcPr>
            <w:tcW w:w="2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5F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  <w:t>保留字段 (全0)</w:t>
            </w:r>
          </w:p>
        </w:tc>
      </w:tr>
      <w:tr w14:paraId="3A2441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60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  <w:t>22</w:t>
            </w:r>
          </w:p>
        </w:tc>
        <w:tc>
          <w:tcPr>
            <w:tcW w:w="1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61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  <w:t>CRC16</w:t>
            </w: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6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  <w:t>2B</w:t>
            </w:r>
          </w:p>
        </w:tc>
        <w:tc>
          <w:tcPr>
            <w:tcW w:w="2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63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  <w:t>CRC-16-CCITT 校验码</w:t>
            </w:r>
          </w:p>
        </w:tc>
      </w:tr>
    </w:tbl>
    <w:p w14:paraId="00000164">
      <w:pPr>
        <w:pStyle w:val="4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480" w:after="120" w:line="275" w:lineRule="auto"/>
        <w:rPr>
          <w:rFonts w:hint="eastAsia" w:ascii="Times New Roman" w:hAnsi="Times New Roman" w:eastAsia="微软雅黑" w:cs="微软雅黑"/>
          <w:color w:val="1F1F1F"/>
        </w:rPr>
      </w:pPr>
      <w:r>
        <w:rPr>
          <w:rFonts w:hint="eastAsia" w:ascii="Times New Roman" w:hAnsi="Times New Roman" w:eastAsia="微软雅黑" w:cs="微软雅黑"/>
          <w:color w:val="1F1F1F"/>
          <w:rtl w:val="0"/>
        </w:rPr>
        <w:t xml:space="preserve">6.2 上行状态包 (ANT </w:t>
      </w:r>
      <w:r>
        <w:rPr>
          <w:rFonts w:hint="eastAsia" w:ascii="Times New Roman" w:hAnsi="Times New Roman" w:eastAsia="微软雅黑" w:cs="微软雅黑"/>
          <w:color w:val="1F1F1F"/>
          <w:rtl w:val="0"/>
          <w:lang w:eastAsia="zh-CN"/>
        </w:rPr>
        <w:t>—&gt;</w:t>
      </w:r>
      <w:r>
        <w:rPr>
          <w:rFonts w:hint="eastAsia" w:ascii="Times New Roman" w:hAnsi="Times New Roman" w:eastAsia="微软雅黑" w:cs="微软雅黑"/>
          <w:color w:val="1F1F1F"/>
          <w:rtl w:val="0"/>
        </w:rPr>
        <w:t xml:space="preserve"> DACS)</w:t>
      </w:r>
    </w:p>
    <w:p w14:paraId="00000165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after="240" w:line="275" w:lineRule="auto"/>
        <w:rPr>
          <w:rFonts w:hint="eastAsia" w:ascii="Times New Roman" w:hAnsi="Times New Roman" w:eastAsia="宋体" w:cs="微软雅黑"/>
          <w:color w:val="1F1F1F"/>
          <w:rtl w:val="0"/>
        </w:rPr>
      </w:pPr>
      <w:r>
        <w:rPr>
          <w:rFonts w:hint="eastAsia" w:ascii="Times New Roman" w:hAnsi="Times New Roman" w:eastAsia="宋体" w:cs="微软雅黑"/>
          <w:color w:val="1F1F1F"/>
          <w:rtl w:val="0"/>
        </w:rPr>
        <w:t xml:space="preserve">采用定长数据帧，总长度 </w:t>
      </w:r>
      <w:r>
        <w:rPr>
          <w:rFonts w:hint="eastAsia" w:ascii="Times New Roman" w:hAnsi="Times New Roman" w:eastAsia="宋体" w:cs="微软雅黑"/>
          <w:b/>
          <w:bCs/>
          <w:color w:val="1F1F1F"/>
          <w:rtl w:val="0"/>
        </w:rPr>
        <w:t>24 Bytes</w:t>
      </w:r>
      <w:r>
        <w:rPr>
          <w:rFonts w:hint="eastAsia" w:ascii="Times New Roman" w:hAnsi="Times New Roman" w:eastAsia="宋体" w:cs="微软雅黑"/>
          <w:color w:val="1F1F1F"/>
          <w:rtl w:val="0"/>
        </w:rPr>
        <w:t>。</w:t>
      </w:r>
    </w:p>
    <w:tbl>
      <w:tblPr>
        <w:tblStyle w:val="20"/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100" w:type="dxa"/>
          <w:left w:w="100" w:type="dxa"/>
          <w:bottom w:w="100" w:type="dxa"/>
          <w:right w:w="100" w:type="dxa"/>
        </w:tblCellMar>
      </w:tblPr>
      <w:tblGrid>
        <w:gridCol w:w="1007"/>
        <w:gridCol w:w="1745"/>
        <w:gridCol w:w="1007"/>
        <w:gridCol w:w="5957"/>
      </w:tblGrid>
      <w:tr w14:paraId="44C49F9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6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微软雅黑" w:cs="微软雅黑"/>
                <w:b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="微软雅黑" w:cs="微软雅黑"/>
                <w:b/>
                <w:bCs/>
                <w:color w:val="000000"/>
                <w:sz w:val="21"/>
                <w:szCs w:val="21"/>
                <w:shd w:val="clear" w:fill="auto"/>
                <w:rtl w:val="0"/>
              </w:rPr>
              <w:t>偏移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67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微软雅黑" w:cs="微软雅黑"/>
                <w:b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="微软雅黑" w:cs="微软雅黑"/>
                <w:b/>
                <w:bCs/>
                <w:color w:val="000000"/>
                <w:sz w:val="21"/>
                <w:szCs w:val="21"/>
                <w:shd w:val="clear" w:fill="auto"/>
                <w:rtl w:val="0"/>
              </w:rPr>
              <w:t>字段名称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68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微软雅黑" w:cs="微软雅黑"/>
                <w:b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="微软雅黑" w:cs="微软雅黑"/>
                <w:b/>
                <w:bCs/>
                <w:color w:val="000000"/>
                <w:sz w:val="21"/>
                <w:szCs w:val="21"/>
                <w:shd w:val="clear" w:fill="auto"/>
                <w:rtl w:val="0"/>
              </w:rPr>
              <w:t>长度</w:t>
            </w:r>
          </w:p>
        </w:tc>
        <w:tc>
          <w:tcPr>
            <w:tcW w:w="3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69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微软雅黑" w:cs="微软雅黑"/>
                <w:b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="微软雅黑" w:cs="微软雅黑"/>
                <w:b/>
                <w:bCs/>
                <w:color w:val="000000"/>
                <w:sz w:val="21"/>
                <w:szCs w:val="21"/>
                <w:shd w:val="clear" w:fill="auto"/>
                <w:rtl w:val="0"/>
              </w:rPr>
              <w:t>说明</w:t>
            </w:r>
          </w:p>
        </w:tc>
      </w:tr>
      <w:tr w14:paraId="5D72F05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6A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0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6B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Header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6C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2B</w:t>
            </w:r>
          </w:p>
        </w:tc>
        <w:tc>
          <w:tcPr>
            <w:tcW w:w="3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6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固定 0x55AA</w:t>
            </w:r>
          </w:p>
        </w:tc>
      </w:tr>
      <w:tr w14:paraId="4D170E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6E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2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6F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DestID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70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1B</w:t>
            </w:r>
          </w:p>
        </w:tc>
        <w:tc>
          <w:tcPr>
            <w:tcW w:w="3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71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DACS ID (0x02/03/04)</w:t>
            </w:r>
          </w:p>
        </w:tc>
      </w:tr>
      <w:tr w14:paraId="4296CD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7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3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73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SrcID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74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1B</w:t>
            </w:r>
          </w:p>
        </w:tc>
        <w:tc>
          <w:tcPr>
            <w:tcW w:w="3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75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固定 0x05 (天馈)</w:t>
            </w:r>
          </w:p>
        </w:tc>
      </w:tr>
      <w:tr w14:paraId="4B13123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7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4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77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TotalLen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78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2B</w:t>
            </w:r>
          </w:p>
        </w:tc>
        <w:tc>
          <w:tcPr>
            <w:tcW w:w="3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79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固定 24 (0x0018)</w:t>
            </w:r>
          </w:p>
        </w:tc>
      </w:tr>
      <w:tr w14:paraId="23868C8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7A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6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7B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CPICount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7C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4B</w:t>
            </w:r>
          </w:p>
        </w:tc>
        <w:tc>
          <w:tcPr>
            <w:tcW w:w="3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7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对应执行的CPI计数</w:t>
            </w:r>
          </w:p>
        </w:tc>
      </w:tr>
      <w:tr w14:paraId="092564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7E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10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7F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WorkMode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80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1B</w:t>
            </w:r>
          </w:p>
        </w:tc>
        <w:tc>
          <w:tcPr>
            <w:tcW w:w="3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81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当前工作方式</w:t>
            </w:r>
          </w:p>
        </w:tc>
      </w:tr>
      <w:tr w14:paraId="28DD136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8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11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83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WidthSel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84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1B</w:t>
            </w:r>
          </w:p>
        </w:tc>
        <w:tc>
          <w:tcPr>
            <w:tcW w:w="3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85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当前展宽状态</w:t>
            </w:r>
          </w:p>
        </w:tc>
      </w:tr>
      <w:tr w14:paraId="6CE6AA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8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12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87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Azimuth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88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2B</w:t>
            </w:r>
          </w:p>
        </w:tc>
        <w:tc>
          <w:tcPr>
            <w:tcW w:w="3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89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当前方位 (0.0025°/LSB)</w:t>
            </w:r>
          </w:p>
        </w:tc>
      </w:tr>
      <w:tr w14:paraId="0DF420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8A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14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8B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Elevation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8C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2B</w:t>
            </w:r>
          </w:p>
        </w:tc>
        <w:tc>
          <w:tcPr>
            <w:tcW w:w="3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8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当前俯仰 (0.0025°/LSB)</w:t>
            </w:r>
          </w:p>
        </w:tc>
      </w:tr>
      <w:tr w14:paraId="65AC0D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8E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16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8F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Frequency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90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1B</w:t>
            </w:r>
          </w:p>
        </w:tc>
        <w:tc>
          <w:tcPr>
            <w:tcW w:w="3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91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当前频率</w:t>
            </w:r>
          </w:p>
        </w:tc>
      </w:tr>
      <w:tr w14:paraId="41EC0C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9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17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93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MGC_Gain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94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2B</w:t>
            </w:r>
          </w:p>
        </w:tc>
        <w:tc>
          <w:tcPr>
            <w:tcW w:w="3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95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当前增益</w:t>
            </w:r>
          </w:p>
        </w:tc>
      </w:tr>
      <w:tr w14:paraId="1DF4AB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9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19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97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FaultCode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98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2B</w:t>
            </w:r>
          </w:p>
        </w:tc>
        <w:tc>
          <w:tcPr>
            <w:tcW w:w="3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99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 w:val="0"/>
                <w:bCs/>
                <w:color w:val="000000"/>
                <w:sz w:val="21"/>
                <w:szCs w:val="21"/>
                <w:shd w:val="clear" w:fill="auto"/>
                <w:rtl w:val="0"/>
              </w:rPr>
              <w:t>故障状态码 (Bit0: 综合故障, Bit1-15: 扩展定义)</w:t>
            </w:r>
          </w:p>
        </w:tc>
      </w:tr>
      <w:tr w14:paraId="31A35F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9A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  <w:t>21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9B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  <w:t>Reserved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9C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  <w:t>1B</w:t>
            </w:r>
          </w:p>
        </w:tc>
        <w:tc>
          <w:tcPr>
            <w:tcW w:w="3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9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  <w:t>保留字段 (全0)</w:t>
            </w:r>
          </w:p>
        </w:tc>
      </w:tr>
      <w:tr w14:paraId="3546E2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100" w:type="dxa"/>
            <w:left w:w="100" w:type="dxa"/>
            <w:bottom w:w="100" w:type="dxa"/>
            <w:right w:w="100" w:type="dxa"/>
          </w:tblCellMar>
        </w:tblPrEx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9E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  <w:t>22</w:t>
            </w:r>
          </w:p>
        </w:tc>
        <w:tc>
          <w:tcPr>
            <w:tcW w:w="8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9F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  <w:t>CRC16</w:t>
            </w:r>
          </w:p>
        </w:tc>
        <w:tc>
          <w:tcPr>
            <w:tcW w:w="5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A0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  <w:t>2B</w:t>
            </w:r>
          </w:p>
        </w:tc>
        <w:tc>
          <w:tcPr>
            <w:tcW w:w="3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00001A1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</w:pPr>
            <w:r>
              <w:rPr>
                <w:rFonts w:hint="eastAsia" w:ascii="Times New Roman" w:hAnsi="Times New Roman" w:eastAsiaTheme="minorEastAsia" w:cstheme="minorEastAsia"/>
                <w:b/>
                <w:bCs w:val="0"/>
                <w:color w:val="auto"/>
                <w:sz w:val="21"/>
                <w:szCs w:val="21"/>
                <w:highlight w:val="yellow"/>
                <w:shd w:val="clear" w:fill="auto"/>
                <w:rtl w:val="0"/>
              </w:rPr>
              <w:t>CRC-16-CCITT 校验码</w:t>
            </w:r>
          </w:p>
        </w:tc>
      </w:tr>
    </w:tbl>
    <w:p w14:paraId="000001A2">
      <w:pPr>
        <w:pStyle w:val="3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480" w:after="120" w:line="275" w:lineRule="auto"/>
        <w:rPr>
          <w:rFonts w:hint="eastAsia" w:ascii="Times New Roman" w:hAnsi="Times New Roman" w:eastAsia="微软雅黑" w:cs="微软雅黑"/>
          <w:color w:val="1F1F1F"/>
        </w:rPr>
      </w:pPr>
      <w:r>
        <w:rPr>
          <w:rFonts w:hint="eastAsia" w:ascii="Times New Roman" w:hAnsi="Times New Roman" w:eastAsia="微软雅黑" w:cs="微软雅黑"/>
          <w:color w:val="1F1F1F"/>
          <w:rtl w:val="0"/>
        </w:rPr>
        <w:t>附录 A：单位换算参考</w:t>
      </w:r>
    </w:p>
    <w:p w14:paraId="000001A3">
      <w:pPr>
        <w:numPr>
          <w:ilvl w:val="0"/>
          <w:numId w:val="5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after="0" w:afterAutospacing="0" w:line="275" w:lineRule="auto"/>
        <w:ind w:left="480" w:hanging="360"/>
        <w:rPr>
          <w:rFonts w:hint="eastAsia" w:ascii="Times New Roman" w:hAnsi="Times New Roman" w:eastAsia="微软雅黑" w:cs="微软雅黑"/>
        </w:rPr>
      </w:pPr>
      <w:r>
        <w:rPr>
          <w:rFonts w:hint="eastAsia" w:ascii="Times New Roman" w:hAnsi="Times New Roman" w:eastAsia="微软雅黑" w:cs="微软雅黑"/>
          <w:b/>
          <w:bCs/>
          <w:color w:val="1F1F1F"/>
          <w:rtl w:val="0"/>
        </w:rPr>
        <w:t>角度</w:t>
      </w:r>
      <w:r>
        <w:rPr>
          <w:rFonts w:hint="eastAsia" w:ascii="Times New Roman" w:hAnsi="Times New Roman" w:eastAsia="微软雅黑" w:cs="微软雅黑"/>
          <w:color w:val="1F1F1F"/>
          <w:rtl w:val="0"/>
        </w:rPr>
        <w:t>: Physical_Angle (deg) = Raw_Value * 0.0025</w:t>
      </w:r>
    </w:p>
    <w:p w14:paraId="000001A4">
      <w:pPr>
        <w:numPr>
          <w:ilvl w:val="0"/>
          <w:numId w:val="5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beforeAutospacing="0" w:after="0" w:afterAutospacing="0" w:line="275" w:lineRule="auto"/>
        <w:ind w:left="480" w:hanging="360"/>
        <w:rPr>
          <w:rFonts w:hint="eastAsia" w:ascii="Times New Roman" w:hAnsi="Times New Roman" w:eastAsia="微软雅黑" w:cs="微软雅黑"/>
        </w:rPr>
      </w:pPr>
      <w:r>
        <w:rPr>
          <w:rFonts w:hint="eastAsia" w:ascii="Times New Roman" w:hAnsi="Times New Roman" w:eastAsia="微软雅黑" w:cs="微软雅黑"/>
          <w:b/>
          <w:bCs/>
          <w:color w:val="1F1F1F"/>
          <w:rtl w:val="0"/>
        </w:rPr>
        <w:t>频率</w:t>
      </w:r>
      <w:r>
        <w:rPr>
          <w:rFonts w:hint="eastAsia" w:ascii="Times New Roman" w:hAnsi="Times New Roman" w:eastAsia="微软雅黑" w:cs="微软雅黑"/>
          <w:color w:val="1F1F1F"/>
          <w:rtl w:val="0"/>
        </w:rPr>
        <w:t>: Frequency (MHz) = 15500 + Raw_Value * 10</w:t>
      </w:r>
    </w:p>
    <w:p w14:paraId="000001A5">
      <w:pPr>
        <w:numPr>
          <w:ilvl w:val="0"/>
          <w:numId w:val="5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beforeAutospacing="0" w:after="0" w:afterAutospacing="0" w:line="275" w:lineRule="auto"/>
        <w:ind w:left="480" w:hanging="360"/>
        <w:rPr>
          <w:rFonts w:hint="eastAsia" w:ascii="Times New Roman" w:hAnsi="Times New Roman" w:eastAsia="微软雅黑" w:cs="微软雅黑"/>
        </w:rPr>
      </w:pPr>
      <w:r>
        <w:rPr>
          <w:rFonts w:hint="eastAsia" w:ascii="Times New Roman" w:hAnsi="Times New Roman" w:eastAsia="微软雅黑" w:cs="微软雅黑"/>
          <w:b/>
          <w:bCs/>
          <w:color w:val="1F1F1F"/>
          <w:rtl w:val="0"/>
        </w:rPr>
        <w:t>增益</w:t>
      </w:r>
      <w:r>
        <w:rPr>
          <w:rFonts w:hint="eastAsia" w:ascii="Times New Roman" w:hAnsi="Times New Roman" w:eastAsia="微软雅黑" w:cs="微软雅黑"/>
          <w:color w:val="1F1F1F"/>
          <w:rtl w:val="0"/>
        </w:rPr>
        <w:t>: Gain (dB) = Raw_Value * 0.5</w:t>
      </w:r>
    </w:p>
    <w:p w14:paraId="000001A7">
      <w:pPr>
        <w:numPr>
          <w:ilvl w:val="0"/>
          <w:numId w:val="5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beforeAutospacing="0" w:after="120" w:line="275" w:lineRule="auto"/>
        <w:ind w:left="480" w:hanging="360"/>
        <w:rPr>
          <w:rFonts w:hint="eastAsia" w:ascii="Times New Roman" w:hAnsi="Times New Roman" w:eastAsia="微软雅黑" w:cs="微软雅黑"/>
          <w:color w:val="1F1F1F"/>
        </w:rPr>
      </w:pPr>
      <w:r>
        <w:rPr>
          <w:rFonts w:hint="eastAsia" w:ascii="Times New Roman" w:hAnsi="Times New Roman" w:eastAsia="微软雅黑" w:cs="微软雅黑"/>
          <w:b/>
          <w:bCs/>
          <w:color w:val="1F1F1F"/>
          <w:rtl w:val="0"/>
        </w:rPr>
        <w:t>时间</w:t>
      </w:r>
      <w:r>
        <w:rPr>
          <w:rFonts w:hint="eastAsia" w:ascii="Times New Roman" w:hAnsi="Times New Roman" w:eastAsia="微软雅黑" w:cs="微软雅黑"/>
          <w:color w:val="1F1F1F"/>
          <w:rtl w:val="0"/>
        </w:rPr>
        <w:t xml:space="preserve">: </w:t>
      </w:r>
      <w:r>
        <w:rPr>
          <w:rFonts w:hint="eastAsia" w:ascii="Times New Roman" w:hAnsi="Times New Roman" w:eastAsia="宋体" w:cs="微软雅黑"/>
          <w:color w:val="1F1F1F"/>
          <w:rtl w:val="0"/>
        </w:rPr>
        <w:t>Ethernet Header 中的 Timestamp 为 UTC 时间的秒数部分。</w:t>
      </w:r>
    </w:p>
    <w:sectPr>
      <w:pgSz w:w="12240" w:h="15840"/>
      <w:pgMar w:top="1440" w:right="1440" w:bottom="1440" w:left="1440" w:header="0" w:footer="720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3773C783-0A27-42D2-8A1F-AA137DEBE033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9EA09E38-6BB2-4331-B01B-9970671F0645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912B0689-6320-48E2-B0D0-94B33536FB1A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AE00950C-3F98-44C8-BD65-9DB4417C9293}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5" w:fontKey="{C601EA17-9C31-4C06-99A9-DBD7AEA701C5}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  <w:embedRegular r:id="rId6" w:fontKey="{6D6023C1-33DA-4D5D-B0B5-1DD49918EFF1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7" w:fontKey="{5014A96F-EB39-44EE-92EC-BB8620D971BB}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  <w:embedRegular r:id="rId8" w:fontKey="{5D6FE322-C141-4DAA-BB43-16032F63B91E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4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1" w:tentative="0">
      <w:start w:val="1"/>
      <w:numFmt w:val="bullet"/>
      <w:lvlText w:val="○"/>
      <w:lvlJc w:val="left"/>
      <w:pPr>
        <w:ind w:left="144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2" w:tentative="0">
      <w:start w:val="1"/>
      <w:numFmt w:val="bullet"/>
      <w:lvlText w:val="■"/>
      <w:lvlJc w:val="left"/>
      <w:pPr>
        <w:ind w:left="216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3" w:tentative="0">
      <w:start w:val="1"/>
      <w:numFmt w:val="bullet"/>
      <w:lvlText w:val="■"/>
      <w:lvlJc w:val="left"/>
      <w:pPr>
        <w:ind w:left="28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4" w:tentative="0">
      <w:start w:val="1"/>
      <w:numFmt w:val="bullet"/>
      <w:lvlText w:val="■"/>
      <w:lvlJc w:val="left"/>
      <w:pPr>
        <w:ind w:left="360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5" w:tentative="0">
      <w:start w:val="1"/>
      <w:numFmt w:val="bullet"/>
      <w:lvlText w:val="■"/>
      <w:lvlJc w:val="left"/>
      <w:pPr>
        <w:ind w:left="432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6" w:tentative="0">
      <w:start w:val="1"/>
      <w:numFmt w:val="bullet"/>
      <w:lvlText w:val="■"/>
      <w:lvlJc w:val="left"/>
      <w:pPr>
        <w:ind w:left="504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7" w:tentative="0">
      <w:start w:val="1"/>
      <w:numFmt w:val="bullet"/>
      <w:lvlText w:val="■"/>
      <w:lvlJc w:val="left"/>
      <w:pPr>
        <w:ind w:left="576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8" w:tentative="0">
      <w:start w:val="1"/>
      <w:numFmt w:val="bullet"/>
      <w:lvlText w:val="■"/>
      <w:lvlJc w:val="left"/>
      <w:pPr>
        <w:ind w:left="64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</w:abstractNum>
  <w:abstractNum w:abstractNumId="1">
    <w:nsid w:val="F03C744F"/>
    <w:multiLevelType w:val="multilevel"/>
    <w:tmpl w:val="F03C744F"/>
    <w:lvl w:ilvl="0" w:tentative="0">
      <w:start w:val="1"/>
      <w:numFmt w:val="bullet"/>
      <w:lvlText w:val="●"/>
      <w:lvlJc w:val="left"/>
      <w:pPr>
        <w:tabs>
          <w:tab w:val="left" w:pos="840"/>
        </w:tabs>
        <w:ind w:left="885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1" w:tentative="0">
      <w:start w:val="1"/>
      <w:numFmt w:val="bullet"/>
      <w:lvlText w:val="○"/>
      <w:lvlJc w:val="left"/>
      <w:pPr>
        <w:tabs>
          <w:tab w:val="left" w:pos="420"/>
        </w:tabs>
        <w:ind w:left="186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2" w:tentative="0">
      <w:start w:val="1"/>
      <w:numFmt w:val="bullet"/>
      <w:lvlText w:val="■"/>
      <w:lvlJc w:val="left"/>
      <w:pPr>
        <w:tabs>
          <w:tab w:val="left" w:pos="420"/>
        </w:tabs>
        <w:ind w:left="25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3" w:tentative="0">
      <w:start w:val="1"/>
      <w:numFmt w:val="bullet"/>
      <w:lvlText w:val="■"/>
      <w:lvlJc w:val="left"/>
      <w:pPr>
        <w:tabs>
          <w:tab w:val="left" w:pos="420"/>
        </w:tabs>
        <w:ind w:left="330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4" w:tentative="0">
      <w:start w:val="1"/>
      <w:numFmt w:val="bullet"/>
      <w:lvlText w:val="■"/>
      <w:lvlJc w:val="left"/>
      <w:pPr>
        <w:tabs>
          <w:tab w:val="left" w:pos="420"/>
        </w:tabs>
        <w:ind w:left="402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5" w:tentative="0">
      <w:start w:val="1"/>
      <w:numFmt w:val="bullet"/>
      <w:lvlText w:val="■"/>
      <w:lvlJc w:val="left"/>
      <w:pPr>
        <w:tabs>
          <w:tab w:val="left" w:pos="420"/>
        </w:tabs>
        <w:ind w:left="474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6" w:tentative="0">
      <w:start w:val="1"/>
      <w:numFmt w:val="bullet"/>
      <w:lvlText w:val="■"/>
      <w:lvlJc w:val="left"/>
      <w:pPr>
        <w:tabs>
          <w:tab w:val="left" w:pos="420"/>
        </w:tabs>
        <w:ind w:left="546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7" w:tentative="0">
      <w:start w:val="1"/>
      <w:numFmt w:val="bullet"/>
      <w:lvlText w:val="■"/>
      <w:lvlJc w:val="left"/>
      <w:pPr>
        <w:tabs>
          <w:tab w:val="left" w:pos="420"/>
        </w:tabs>
        <w:ind w:left="618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  <w:lvl w:ilvl="8" w:tentative="0">
      <w:start w:val="1"/>
      <w:numFmt w:val="bullet"/>
      <w:lvlText w:val="■"/>
      <w:lvlJc w:val="left"/>
      <w:pPr>
        <w:tabs>
          <w:tab w:val="left" w:pos="420"/>
        </w:tabs>
        <w:ind w:left="6900" w:hanging="360"/>
      </w:pPr>
      <w:rPr>
        <w:rFonts w:ascii="Arial" w:hAnsi="Arial" w:eastAsia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fill="auto"/>
        <w:vertAlign w:val="baseline"/>
      </w:rPr>
    </w:lvl>
  </w:abstractNum>
  <w:abstractNum w:abstractNumId="2">
    <w:nsid w:val="250E24EA"/>
    <w:multiLevelType w:val="singleLevel"/>
    <w:tmpl w:val="250E24EA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5D019652"/>
    <w:multiLevelType w:val="singleLevel"/>
    <w:tmpl w:val="5D019652"/>
    <w:lvl w:ilvl="0" w:tentative="0">
      <w:start w:val="2"/>
      <w:numFmt w:val="decimal"/>
      <w:suff w:val="space"/>
      <w:lvlText w:val="%1."/>
      <w:lvlJc w:val="left"/>
    </w:lvl>
  </w:abstractNum>
  <w:abstractNum w:abstractNumId="4">
    <w:nsid w:val="5F3653DD"/>
    <w:multiLevelType w:val="multilevel"/>
    <w:tmpl w:val="5F3653DD"/>
    <w:lvl w:ilvl="0" w:tentative="0">
      <w:start w:val="2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TrueTypeFonts/>
  <w:documentProtection w:enforcement="0"/>
  <w:defaultTabStop w:val="720"/>
  <w:compat>
    <w:useFELayout/>
    <w:compatSetting w:name="compatibilityMode" w:uri="http://schemas.microsoft.com/office/word" w:val="15"/>
  </w:compat>
  <w:rsids>
    <w:rsidRoot w:val="00000000"/>
    <w:rsid w:val="2AD04414"/>
    <w:rsid w:val="5F1049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Arial" w:hAnsi="Arial" w:eastAsia="Arial" w:cs="Arial"/>
      <w:sz w:val="22"/>
      <w:szCs w:val="22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spacing w:before="240" w:after="240"/>
    </w:pPr>
    <w:rPr>
      <w:b/>
      <w:bCs/>
      <w:sz w:val="48"/>
      <w:szCs w:val="48"/>
    </w:rPr>
  </w:style>
  <w:style w:type="paragraph" w:styleId="3">
    <w:name w:val="heading 2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spacing w:before="225" w:after="225"/>
    </w:pPr>
    <w:rPr>
      <w:b/>
      <w:bCs/>
      <w:sz w:val="36"/>
      <w:szCs w:val="36"/>
    </w:rPr>
  </w:style>
  <w:style w:type="paragraph" w:styleId="4">
    <w:name w:val="heading 3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spacing w:before="240" w:after="240"/>
    </w:pPr>
    <w:rPr>
      <w:b/>
      <w:bCs/>
      <w:sz w:val="28"/>
      <w:szCs w:val="28"/>
    </w:rPr>
  </w:style>
  <w:style w:type="paragraph" w:styleId="5">
    <w:name w:val="heading 4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spacing w:before="255" w:after="255"/>
    </w:pPr>
    <w:rPr>
      <w:b/>
      <w:bCs/>
      <w:sz w:val="24"/>
      <w:szCs w:val="24"/>
    </w:rPr>
  </w:style>
  <w:style w:type="paragraph" w:styleId="6">
    <w:name w:val="heading 5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spacing w:before="255" w:after="255"/>
    </w:pPr>
    <w:rPr>
      <w:b/>
      <w:bCs/>
      <w:sz w:val="18"/>
      <w:szCs w:val="18"/>
    </w:rPr>
  </w:style>
  <w:style w:type="paragraph" w:styleId="7">
    <w:name w:val="heading 6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spacing w:before="360" w:after="360"/>
    </w:pPr>
    <w:rPr>
      <w:b/>
      <w:bCs/>
      <w:sz w:val="16"/>
      <w:szCs w:val="16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Subtitle"/>
    <w:basedOn w:val="1"/>
    <w:next w:val="1"/>
    <w:qFormat/>
    <w:uiPriority w:val="0"/>
    <w:pPr>
      <w:keepNext/>
      <w:keepLines/>
      <w:pageBreakBefore w:val="0"/>
      <w:spacing w:before="360" w:after="80"/>
    </w:pPr>
    <w:rPr>
      <w:rFonts w:ascii="Georgia" w:hAnsi="Georgia" w:eastAsia="Georgia" w:cs="Georgia"/>
      <w:i/>
      <w:iCs/>
      <w:color w:val="666666"/>
      <w:sz w:val="48"/>
      <w:szCs w:val="48"/>
    </w:rPr>
  </w:style>
  <w:style w:type="paragraph" w:styleId="9">
    <w:name w:val="Title"/>
    <w:basedOn w:val="1"/>
    <w:next w:val="1"/>
    <w:qFormat/>
    <w:uiPriority w:val="0"/>
    <w:pPr>
      <w:keepNext/>
      <w:keepLines/>
      <w:pageBreakBefore w:val="0"/>
      <w:spacing w:before="480" w:after="120"/>
    </w:pPr>
    <w:rPr>
      <w:b/>
      <w:bCs/>
      <w:sz w:val="72"/>
      <w:szCs w:val="72"/>
    </w:rPr>
  </w:style>
  <w:style w:type="table" w:customStyle="1" w:styleId="12">
    <w:name w:val="TableNormal"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3">
    <w:name w:val="_Style 10"/>
    <w:basedOn w:val="12"/>
    <w:qFormat/>
    <w:uiPriority w:val="0"/>
  </w:style>
  <w:style w:type="table" w:customStyle="1" w:styleId="14">
    <w:name w:val="_Style 11"/>
    <w:basedOn w:val="12"/>
    <w:qFormat/>
    <w:uiPriority w:val="0"/>
  </w:style>
  <w:style w:type="table" w:customStyle="1" w:styleId="15">
    <w:name w:val="_Style 12"/>
    <w:basedOn w:val="12"/>
    <w:qFormat/>
    <w:uiPriority w:val="0"/>
  </w:style>
  <w:style w:type="table" w:customStyle="1" w:styleId="16">
    <w:name w:val="_Style 13"/>
    <w:basedOn w:val="12"/>
    <w:qFormat/>
    <w:uiPriority w:val="0"/>
  </w:style>
  <w:style w:type="table" w:customStyle="1" w:styleId="17">
    <w:name w:val="_Style 14"/>
    <w:basedOn w:val="12"/>
    <w:qFormat/>
    <w:uiPriority w:val="0"/>
  </w:style>
  <w:style w:type="table" w:customStyle="1" w:styleId="18">
    <w:name w:val="_Style 15"/>
    <w:basedOn w:val="12"/>
    <w:qFormat/>
    <w:uiPriority w:val="0"/>
  </w:style>
  <w:style w:type="table" w:customStyle="1" w:styleId="19">
    <w:name w:val="_Style 16"/>
    <w:basedOn w:val="12"/>
    <w:qFormat/>
    <w:uiPriority w:val="0"/>
  </w:style>
  <w:style w:type="table" w:customStyle="1" w:styleId="20">
    <w:name w:val="_Style 17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1642</Words>
  <Characters>3111</Characters>
  <TotalTime>57</TotalTime>
  <ScaleCrop>false</ScaleCrop>
  <LinksUpToDate>false</LinksUpToDate>
  <CharactersWithSpaces>3276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2025-12-04T14:35:00Z</dcterms:created>
  <dc:creator>Administrator</dc:creator>
  <cp:lastModifiedBy>Klein</cp:lastModifiedBy>
  <dcterms:modified xsi:type="dcterms:W3CDTF">2025-12-04T16:31:31Z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eyJoZGlkIjoiMzhjYmQ1MTU4OWRjYzgwNzRmYzYyMjBiNWQ5YzcyMjciLCJ1c2VySWQiOiI0MTYyOTAwOTEifQ==</vt:lpwstr>
  </property>
  <property fmtid="{D5CDD505-2E9C-101B-9397-08002B2CF9AE}" pid="3" name="KSOProductBuildVer">
    <vt:lpwstr>2052-12.1.0.24034</vt:lpwstr>
  </property>
  <property fmtid="{D5CDD505-2E9C-101B-9397-08002B2CF9AE}" pid="4" name="ICV">
    <vt:lpwstr>D8AD1CDC72DD4457AF8B8F1AB0FCCF74_13</vt:lpwstr>
  </property>
</Properties>
</file>